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ACCF14F" w14:textId="1A9202AF" w:rsidR="00CC3B24" w:rsidRPr="00B715A4" w:rsidRDefault="00FE28AC" w:rsidP="00CF0CB8">
      <w:pPr>
        <w:autoSpaceDE w:val="0"/>
        <w:autoSpaceDN w:val="0"/>
        <w:adjustRightInd w:val="0"/>
        <w:rPr>
          <w:rFonts w:cs="Verdana"/>
          <w:b/>
          <w:bCs/>
          <w:sz w:val="22"/>
          <w:szCs w:val="22"/>
          <w:lang w:val="es-ES"/>
        </w:rPr>
      </w:pPr>
      <w:r w:rsidRPr="00B715A4">
        <w:rPr>
          <w:b/>
          <w:bCs/>
          <w:sz w:val="40"/>
          <w:szCs w:val="40"/>
          <w:lang w:val="es-ES"/>
        </w:rPr>
        <w:t>Hamm</w:t>
      </w:r>
      <w:r w:rsidR="002F5818" w:rsidRPr="00B715A4">
        <w:rPr>
          <w:b/>
          <w:bCs/>
          <w:sz w:val="40"/>
          <w:szCs w:val="40"/>
          <w:lang w:val="es-ES"/>
        </w:rPr>
        <w:t xml:space="preserve"> | </w:t>
      </w:r>
      <w:r w:rsidR="00B715A4" w:rsidRPr="00B715A4">
        <w:rPr>
          <w:b/>
          <w:bCs/>
          <w:sz w:val="40"/>
          <w:szCs w:val="40"/>
          <w:lang w:val="es-ES"/>
        </w:rPr>
        <w:t>Serie HP: los potentes rodillos de neumáticos con numerosas opciones convencen en la práctica</w:t>
      </w:r>
      <w:r w:rsidR="00233581" w:rsidRPr="00B715A4">
        <w:rPr>
          <w:sz w:val="36"/>
          <w:szCs w:val="36"/>
          <w:lang w:val="es-ES"/>
        </w:rPr>
        <w:br/>
      </w:r>
    </w:p>
    <w:p w14:paraId="459B1C70" w14:textId="2646537D" w:rsidR="00E22034" w:rsidRPr="00B715A4" w:rsidRDefault="00B715A4" w:rsidP="00B715A4">
      <w:pPr>
        <w:jc w:val="both"/>
        <w:rPr>
          <w:rFonts w:cs="Arial"/>
          <w:b/>
          <w:bCs/>
          <w:sz w:val="22"/>
          <w:szCs w:val="22"/>
          <w:lang w:val="es-ES"/>
        </w:rPr>
      </w:pPr>
      <w:r w:rsidRPr="00B715A4">
        <w:rPr>
          <w:rFonts w:cs="Arial"/>
          <w:b/>
          <w:bCs/>
          <w:sz w:val="22"/>
          <w:szCs w:val="22"/>
          <w:lang w:val="es-ES"/>
        </w:rPr>
        <w:t>Desde hace algunos meses los rodillos de neumáticos de la serie HP están disponibles en el mercado global y demuestran su capacidad en la práctica. Se trata de una generación completamente nueva de rodillos de neumáticos, que forman parte del programa de productos de Hamm desde la década de 1960. Visualmente los modelos de la serie HP se identifican por el gran depósito de agua de nuevo diseño. Este depósito (igual que el depósito de diésel) presenta unas dimensiones muy generosas para que las máquinas dispongan de suficiente capacidad para un día de trabajo sin paradas para repostar. Ya solo por este motivo los rodillos son especialmente productivos.</w:t>
      </w:r>
    </w:p>
    <w:p w14:paraId="72FDB9D9" w14:textId="77777777" w:rsidR="00B715A4" w:rsidRPr="00B715A4" w:rsidRDefault="00B715A4" w:rsidP="00E22034">
      <w:pPr>
        <w:rPr>
          <w:rFonts w:cs="Arial"/>
          <w:b/>
          <w:bCs/>
          <w:sz w:val="22"/>
          <w:szCs w:val="22"/>
          <w:lang w:val="es-ES"/>
        </w:rPr>
      </w:pPr>
    </w:p>
    <w:p w14:paraId="55D27FA7" w14:textId="77777777" w:rsidR="00B715A4" w:rsidRPr="00B715A4" w:rsidRDefault="00B715A4" w:rsidP="00E22034">
      <w:pPr>
        <w:jc w:val="both"/>
        <w:rPr>
          <w:rFonts w:cs="Arial"/>
          <w:b/>
          <w:bCs/>
          <w:sz w:val="22"/>
          <w:szCs w:val="22"/>
          <w:lang w:val="es-ES"/>
        </w:rPr>
      </w:pPr>
      <w:r w:rsidRPr="00B715A4">
        <w:rPr>
          <w:rFonts w:cs="Arial"/>
          <w:b/>
          <w:bCs/>
          <w:sz w:val="22"/>
          <w:szCs w:val="22"/>
          <w:lang w:val="es-ES"/>
        </w:rPr>
        <w:t xml:space="preserve">Una plataforma para todos los mercados </w:t>
      </w:r>
    </w:p>
    <w:p w14:paraId="4A355F1C" w14:textId="7B34073B" w:rsidR="00E22034" w:rsidRPr="00B715A4" w:rsidRDefault="008601CC" w:rsidP="00E7367C">
      <w:pPr>
        <w:jc w:val="both"/>
        <w:rPr>
          <w:rFonts w:cs="Arial"/>
          <w:sz w:val="22"/>
          <w:szCs w:val="22"/>
          <w:lang w:val="es-ES"/>
        </w:rPr>
      </w:pPr>
      <w:r>
        <w:rPr>
          <w:rFonts w:cs="Arial"/>
          <w:sz w:val="22"/>
          <w:szCs w:val="22"/>
          <w:lang w:val="es-ES"/>
        </w:rPr>
        <w:t>Hamm</w:t>
      </w:r>
      <w:r w:rsidR="00B715A4" w:rsidRPr="00B715A4">
        <w:rPr>
          <w:rFonts w:cs="Arial"/>
          <w:sz w:val="22"/>
          <w:szCs w:val="22"/>
          <w:lang w:val="es-ES"/>
        </w:rPr>
        <w:t xml:space="preserve"> ha desarrollado para la serie HP una plataforma unitaria para todas las variantes de modelos en todos los mercados del mundo. Sobre esta base </w:t>
      </w:r>
      <w:r>
        <w:rPr>
          <w:rFonts w:cs="Arial"/>
          <w:sz w:val="22"/>
          <w:szCs w:val="22"/>
          <w:lang w:val="es-ES"/>
        </w:rPr>
        <w:t>Hamm</w:t>
      </w:r>
      <w:r w:rsidR="00B715A4" w:rsidRPr="00B715A4">
        <w:rPr>
          <w:rFonts w:cs="Arial"/>
          <w:sz w:val="22"/>
          <w:szCs w:val="22"/>
          <w:lang w:val="es-ES"/>
        </w:rPr>
        <w:t xml:space="preserve"> ofrece también los rodillos de neumáticos en distintas versiones básicas: por un lado, los modelos del tipo HP 180 o HP 180i con un peso operativo mínimo de 8 t y máximo de 18 t y, por otro lado, los modelos HP 280 o HP 280i con pesos operativos entre 10 t y un máximo de 28 t. En los distintos mercados, </w:t>
      </w:r>
      <w:r>
        <w:rPr>
          <w:rFonts w:cs="Arial"/>
          <w:sz w:val="22"/>
          <w:szCs w:val="22"/>
          <w:lang w:val="es-ES"/>
        </w:rPr>
        <w:t>Hamm</w:t>
      </w:r>
      <w:r w:rsidR="00B715A4" w:rsidRPr="00B715A4">
        <w:rPr>
          <w:rFonts w:cs="Arial"/>
          <w:sz w:val="22"/>
          <w:szCs w:val="22"/>
          <w:lang w:val="es-ES"/>
        </w:rPr>
        <w:t xml:space="preserve"> ofrece cada uno de los modelos con una adaptación a las categorías de peso y variantes de equipamiento demandadas en cada región. Los modelos HP 180i y HP 280i (ambos con el concepto de manejo Easy Drive) cumplen las exigencias de las normas de emisiones EPA Tier 4 y UE Fase V, mientras que los modelos HP 180 y HP 280 están destinados a los mercados Tier 3.</w:t>
      </w:r>
    </w:p>
    <w:p w14:paraId="4094E3D8" w14:textId="77777777" w:rsidR="00B715A4" w:rsidRPr="00B715A4" w:rsidRDefault="00B715A4" w:rsidP="00E7367C">
      <w:pPr>
        <w:jc w:val="both"/>
        <w:rPr>
          <w:sz w:val="22"/>
          <w:szCs w:val="22"/>
          <w:lang w:val="es-ES" w:eastAsia="de-DE"/>
        </w:rPr>
      </w:pPr>
    </w:p>
    <w:p w14:paraId="5F5E8D2F" w14:textId="77777777" w:rsidR="00B715A4" w:rsidRPr="008601CC" w:rsidRDefault="00B715A4" w:rsidP="00E22034">
      <w:pPr>
        <w:jc w:val="both"/>
        <w:rPr>
          <w:rFonts w:cs="Arial"/>
          <w:b/>
          <w:bCs/>
          <w:sz w:val="22"/>
          <w:szCs w:val="22"/>
          <w:lang w:val="es-ES"/>
        </w:rPr>
      </w:pPr>
      <w:r w:rsidRPr="008601CC">
        <w:rPr>
          <w:rFonts w:cs="Arial"/>
          <w:b/>
          <w:bCs/>
          <w:sz w:val="22"/>
          <w:szCs w:val="22"/>
          <w:lang w:val="es-ES"/>
        </w:rPr>
        <w:t>Visibilidad óptima y manejo sencillo</w:t>
      </w:r>
    </w:p>
    <w:p w14:paraId="15C01AD9" w14:textId="61753439" w:rsidR="00233581" w:rsidRPr="00B715A4" w:rsidRDefault="00B715A4" w:rsidP="00B715A4">
      <w:pPr>
        <w:jc w:val="both"/>
        <w:rPr>
          <w:rFonts w:cs="Arial"/>
          <w:sz w:val="22"/>
          <w:szCs w:val="22"/>
          <w:lang w:val="es-ES"/>
        </w:rPr>
      </w:pPr>
      <w:r w:rsidRPr="00B715A4">
        <w:rPr>
          <w:rFonts w:cs="Arial"/>
          <w:sz w:val="22"/>
          <w:szCs w:val="22"/>
          <w:lang w:val="es-ES"/>
        </w:rPr>
        <w:t>Fundamental para los conductores: el manejo sencillo e intuitivo y el puesto del conductor ergonómicamente optimizado. En combinación con el diseño del bastidor asimétrico se obtienen unas condiciones de visibilidad perfectas, tanto en modelos con cabina como en modelos con ROPS. El sencillo manejo de la máquina pudo comprobarse ya durante las primeras aplicaciones prácticas en Turquía. En unas obras de construcción cerca de Ankara se empleó una HP 280 para la reforma de una sección de 3,5 km de longitud de una autopista de cuatro carriles. El jefe de obra Gökçe Tokul de Onur Contracting Inc. se mostró encantado con el nuevo rodillo de neumáticos y confirmó: «El conductor logró conducir la máquina rápidamente y sin muchas instrucciones. Además, los compañeros del taller me han comentado que el consumo de combustible es extraordinariamente bajo».</w:t>
      </w:r>
    </w:p>
    <w:p w14:paraId="6861579B" w14:textId="77777777" w:rsidR="00B715A4" w:rsidRPr="00B715A4" w:rsidRDefault="00B715A4" w:rsidP="00E7367C">
      <w:pPr>
        <w:rPr>
          <w:szCs w:val="22"/>
          <w:lang w:val="es-ES"/>
        </w:rPr>
      </w:pPr>
    </w:p>
    <w:p w14:paraId="00B24A98" w14:textId="77777777" w:rsidR="00B715A4" w:rsidRPr="008601CC" w:rsidRDefault="00B715A4" w:rsidP="00E22034">
      <w:pPr>
        <w:tabs>
          <w:tab w:val="left" w:pos="1083"/>
          <w:tab w:val="left" w:pos="2724"/>
        </w:tabs>
        <w:ind w:right="-2" w:hanging="7"/>
        <w:jc w:val="both"/>
        <w:rPr>
          <w:rFonts w:cs="Arial"/>
          <w:b/>
          <w:bCs/>
          <w:sz w:val="22"/>
          <w:szCs w:val="22"/>
          <w:lang w:val="es-ES"/>
        </w:rPr>
      </w:pPr>
      <w:r w:rsidRPr="008601CC">
        <w:rPr>
          <w:rFonts w:cs="Arial"/>
          <w:b/>
          <w:bCs/>
          <w:sz w:val="22"/>
          <w:szCs w:val="22"/>
          <w:lang w:val="es-ES"/>
        </w:rPr>
        <w:t>Potente incluso en pendientes</w:t>
      </w:r>
    </w:p>
    <w:p w14:paraId="19C62E7A" w14:textId="77777777" w:rsidR="00B715A4" w:rsidRPr="00B715A4" w:rsidRDefault="00B715A4" w:rsidP="00B715A4">
      <w:pPr>
        <w:jc w:val="both"/>
        <w:rPr>
          <w:rFonts w:cs="Arial"/>
          <w:sz w:val="22"/>
          <w:szCs w:val="22"/>
          <w:lang w:val="es-ES"/>
        </w:rPr>
      </w:pPr>
      <w:r w:rsidRPr="00B715A4">
        <w:rPr>
          <w:rFonts w:cs="Arial"/>
          <w:sz w:val="22"/>
          <w:szCs w:val="22"/>
          <w:lang w:val="es-ES"/>
        </w:rPr>
        <w:t>La poderosa tracción trasera hidrostática de la serie HP, en combinación con un sistema de control sumamente sensible, puede ajustarse para rodar a la velocidad adecuada en cualquier situación de trabajo. Esto permitió también al rodillo de neumáticos destacar en el accidentado entorno de Ankara. La velocidad de trabajo especificada se regula cómodamente con una rueda giratoria: un requisito importante para una compactación homogénea. Sin olvidar el control inteligente de la conducción. Este sistema permite una aceleración y frenado suaves y homogéneos evitando desniveles durante la compactación.</w:t>
      </w:r>
    </w:p>
    <w:p w14:paraId="397D9FAC" w14:textId="77777777" w:rsidR="00B715A4" w:rsidRPr="00B715A4" w:rsidRDefault="00B715A4" w:rsidP="00E22034">
      <w:pPr>
        <w:jc w:val="both"/>
        <w:rPr>
          <w:rFonts w:cs="Arial"/>
          <w:b/>
          <w:bCs/>
          <w:sz w:val="22"/>
          <w:szCs w:val="22"/>
          <w:lang w:val="es-ES"/>
        </w:rPr>
      </w:pPr>
      <w:r w:rsidRPr="00B715A4">
        <w:rPr>
          <w:rFonts w:cs="Arial"/>
          <w:b/>
          <w:bCs/>
          <w:sz w:val="22"/>
          <w:szCs w:val="22"/>
          <w:lang w:val="es-ES"/>
        </w:rPr>
        <w:lastRenderedPageBreak/>
        <w:t>Variedad de opciones para todos los modelos</w:t>
      </w:r>
    </w:p>
    <w:p w14:paraId="57259827" w14:textId="181E6FBC" w:rsidR="00233581" w:rsidRPr="00B715A4" w:rsidRDefault="008601CC" w:rsidP="00E7367C">
      <w:pPr>
        <w:jc w:val="both"/>
        <w:rPr>
          <w:rFonts w:cs="Arial"/>
          <w:sz w:val="22"/>
          <w:szCs w:val="22"/>
          <w:lang w:val="es-ES"/>
        </w:rPr>
      </w:pPr>
      <w:r>
        <w:rPr>
          <w:rFonts w:cs="Arial"/>
          <w:sz w:val="22"/>
          <w:szCs w:val="22"/>
          <w:lang w:val="es-ES"/>
        </w:rPr>
        <w:t>Hamm</w:t>
      </w:r>
      <w:r w:rsidR="00B715A4" w:rsidRPr="00B715A4">
        <w:rPr>
          <w:rFonts w:cs="Arial"/>
          <w:sz w:val="22"/>
          <w:szCs w:val="22"/>
          <w:lang w:val="es-ES"/>
        </w:rPr>
        <w:t xml:space="preserve"> ofrece para la serie HP una amplia variedad de opciones con el fin de que los rodillos de neumáticos puedan ser equipados con precisión para todos los mercados y aplicaciones. Los faldones térmicos son desde siempre un elemento clásico de equipamiento de los rodillos de neumáticos. Están disponibles para todos los modelos de la serie HP. Una novedad es la calefacción de neumáticos accionada por diésel para los modelos HP 180i y HP 280i. Una ventaja destacada: la calefacción de neumáticos integrada no se acciona con gas, sino con diésel del depósito de combustible. Por tanto, se suprimen por completo el costoso transporte y la tediosa sustitución de las bombonas. Con esta solución </w:t>
      </w:r>
      <w:r>
        <w:rPr>
          <w:rFonts w:cs="Arial"/>
          <w:sz w:val="22"/>
          <w:szCs w:val="22"/>
          <w:lang w:val="es-ES"/>
        </w:rPr>
        <w:t>Hamm</w:t>
      </w:r>
      <w:r w:rsidR="00B715A4" w:rsidRPr="00B715A4">
        <w:rPr>
          <w:rFonts w:cs="Arial"/>
          <w:sz w:val="22"/>
          <w:szCs w:val="22"/>
          <w:lang w:val="es-ES"/>
        </w:rPr>
        <w:t xml:space="preserve"> ha eliminado también una fuente de peligros porque no existe llama abierta y, en consecuencia, tampoco ningún riesgo de inflamación por contacto con aceite o con el aditivo. Asimismo, una parte integrante de la calefacción de neumáticos es la regulación automática de la temperatura. Una vez preseleccionado el valor mínimo y máximo, la regulación mantiene la temperatura en este margen. El conductor puede visualizar la temperatura actual en la pantalla. La calefacción de neumáticos no repercute en la capacidad de lastre de las máquinas. Es posible el peso de servicio máximo permitido con independencia de la calefacción de neumáticos.</w:t>
      </w:r>
    </w:p>
    <w:p w14:paraId="61883E21" w14:textId="77777777" w:rsidR="00B715A4" w:rsidRPr="00B715A4" w:rsidRDefault="00B715A4" w:rsidP="00E7367C">
      <w:pPr>
        <w:jc w:val="both"/>
        <w:rPr>
          <w:sz w:val="22"/>
          <w:szCs w:val="22"/>
          <w:lang w:val="es-ES" w:eastAsia="de-DE"/>
        </w:rPr>
      </w:pPr>
    </w:p>
    <w:p w14:paraId="513EF62D" w14:textId="77777777" w:rsidR="00B715A4" w:rsidRPr="008601CC" w:rsidRDefault="00B715A4" w:rsidP="00E22034">
      <w:pPr>
        <w:jc w:val="both"/>
        <w:rPr>
          <w:rFonts w:cs="Arial"/>
          <w:b/>
          <w:bCs/>
          <w:sz w:val="22"/>
          <w:szCs w:val="22"/>
          <w:lang w:val="es-ES"/>
        </w:rPr>
      </w:pPr>
      <w:r w:rsidRPr="008601CC">
        <w:rPr>
          <w:rFonts w:cs="Arial"/>
          <w:b/>
          <w:bCs/>
          <w:sz w:val="22"/>
          <w:szCs w:val="22"/>
          <w:lang w:val="es-ES"/>
        </w:rPr>
        <w:t xml:space="preserve">Innovador rociado con aditivos </w:t>
      </w:r>
    </w:p>
    <w:p w14:paraId="5B637118" w14:textId="426B7750" w:rsidR="00B715A4" w:rsidRDefault="00B715A4" w:rsidP="00B715A4">
      <w:pPr>
        <w:jc w:val="both"/>
        <w:rPr>
          <w:rFonts w:cs="Arial"/>
          <w:sz w:val="22"/>
          <w:szCs w:val="22"/>
          <w:lang w:val="es-ES"/>
        </w:rPr>
      </w:pPr>
      <w:r w:rsidRPr="00B715A4">
        <w:rPr>
          <w:rFonts w:cs="Arial"/>
          <w:sz w:val="22"/>
          <w:szCs w:val="22"/>
          <w:lang w:val="es-ES"/>
        </w:rPr>
        <w:t xml:space="preserve">Durante el extendido de asfaltos especiales difíciles de procesar, el rociado de las ruedas de goma con aditivo es esencial para una compactación de alta calidad. Con un diseño completamente novedoso del rociado con aditivos </w:t>
      </w:r>
      <w:r w:rsidR="008601CC">
        <w:rPr>
          <w:rFonts w:cs="Arial"/>
          <w:sz w:val="22"/>
          <w:szCs w:val="22"/>
          <w:lang w:val="es-ES"/>
        </w:rPr>
        <w:t>Hamm</w:t>
      </w:r>
      <w:r w:rsidRPr="00B715A4">
        <w:rPr>
          <w:rFonts w:cs="Arial"/>
          <w:sz w:val="22"/>
          <w:szCs w:val="22"/>
          <w:lang w:val="es-ES"/>
        </w:rPr>
        <w:t xml:space="preserve"> crea requisitos óptimos para un manejo sencillo y la máxima calidad de compactación. El sistema ofrece varias ventajas al mismo tiempo. En primer lugar, se debe señalar el rápido llenado del concentrado de aditivo que no exige mezcla previa. La dosificación se puede regular desde el puesto del conductor en diferentes niveles de adición. La mezcla de agua y aditivo se realiza de manera automática garantizando una proporción de mezcla óptima sin disgregación de forma constante. El conductor tiene en todo momento la posibilidad de supervisar el nivel de llenado mediante la indicación en el panel de mando. El cambio de rociado de agua a rociado de aditivo es posible en todo momento desde el puesto del conductor. En resumen, típico de </w:t>
      </w:r>
      <w:r w:rsidR="008601CC">
        <w:rPr>
          <w:rFonts w:cs="Arial"/>
          <w:sz w:val="22"/>
          <w:szCs w:val="22"/>
          <w:lang w:val="es-ES"/>
        </w:rPr>
        <w:t>Hamm</w:t>
      </w:r>
      <w:r w:rsidRPr="00B715A4">
        <w:rPr>
          <w:rFonts w:cs="Arial"/>
          <w:sz w:val="22"/>
          <w:szCs w:val="22"/>
          <w:lang w:val="es-ES"/>
        </w:rPr>
        <w:t>: innovador y con un claro valor añadido para el usuario.</w:t>
      </w:r>
    </w:p>
    <w:p w14:paraId="32730A36" w14:textId="537F72C9" w:rsidR="00AF5DF0" w:rsidRPr="00B715A4" w:rsidRDefault="00A72108" w:rsidP="00B715A4">
      <w:pPr>
        <w:jc w:val="both"/>
        <w:rPr>
          <w:rFonts w:cs="Arial"/>
          <w:sz w:val="22"/>
          <w:szCs w:val="22"/>
          <w:lang w:val="es-ES"/>
        </w:rPr>
      </w:pPr>
      <w:r w:rsidRPr="00B715A4">
        <w:rPr>
          <w:sz w:val="22"/>
          <w:szCs w:val="22"/>
          <w:lang w:val="es-ES" w:eastAsia="de-DE"/>
        </w:rPr>
        <w:br/>
      </w:r>
      <w:r w:rsidRPr="00B715A4">
        <w:rPr>
          <w:sz w:val="22"/>
          <w:szCs w:val="22"/>
          <w:lang w:val="es-ES" w:eastAsia="de-DE"/>
        </w:rPr>
        <w:br/>
      </w:r>
      <w:r w:rsidRPr="00B715A4">
        <w:rPr>
          <w:sz w:val="22"/>
          <w:szCs w:val="22"/>
          <w:lang w:val="es-ES" w:eastAsia="de-DE"/>
        </w:rPr>
        <w:br/>
      </w:r>
      <w:r w:rsidRPr="00B715A4">
        <w:rPr>
          <w:sz w:val="22"/>
          <w:szCs w:val="22"/>
          <w:lang w:val="es-ES" w:eastAsia="de-DE"/>
        </w:rPr>
        <w:br/>
      </w:r>
      <w:r w:rsidRPr="00B715A4">
        <w:rPr>
          <w:sz w:val="22"/>
          <w:szCs w:val="22"/>
          <w:lang w:val="es-ES" w:eastAsia="de-DE"/>
        </w:rPr>
        <w:br/>
      </w:r>
      <w:r w:rsidRPr="00B715A4">
        <w:rPr>
          <w:sz w:val="22"/>
          <w:szCs w:val="22"/>
          <w:lang w:val="es-ES" w:eastAsia="de-DE"/>
        </w:rPr>
        <w:br/>
      </w:r>
      <w:r w:rsidRPr="00B715A4">
        <w:rPr>
          <w:sz w:val="22"/>
          <w:szCs w:val="22"/>
          <w:lang w:val="es-ES" w:eastAsia="de-DE"/>
        </w:rPr>
        <w:br/>
      </w:r>
      <w:r w:rsidRPr="00B715A4">
        <w:rPr>
          <w:sz w:val="22"/>
          <w:szCs w:val="22"/>
          <w:lang w:val="es-ES" w:eastAsia="de-DE"/>
        </w:rPr>
        <w:br/>
      </w:r>
      <w:r w:rsidRPr="00B715A4">
        <w:rPr>
          <w:sz w:val="22"/>
          <w:szCs w:val="22"/>
          <w:lang w:val="es-ES" w:eastAsia="de-DE"/>
        </w:rPr>
        <w:br/>
      </w:r>
      <w:r w:rsidRPr="00B715A4">
        <w:rPr>
          <w:sz w:val="22"/>
          <w:szCs w:val="22"/>
          <w:lang w:val="es-ES" w:eastAsia="de-DE"/>
        </w:rPr>
        <w:br/>
      </w:r>
    </w:p>
    <w:p w14:paraId="6B9E5E97" w14:textId="359FB8AC" w:rsidR="00A72108" w:rsidRPr="00B715A4" w:rsidRDefault="00A72108" w:rsidP="00E7367C">
      <w:pPr>
        <w:jc w:val="both"/>
        <w:rPr>
          <w:sz w:val="22"/>
          <w:szCs w:val="22"/>
          <w:lang w:val="es-ES" w:eastAsia="de-DE"/>
        </w:rPr>
      </w:pPr>
    </w:p>
    <w:p w14:paraId="4B7C7507" w14:textId="00A25F85" w:rsidR="00A72108" w:rsidRPr="00B715A4" w:rsidRDefault="00A72108" w:rsidP="00E7367C">
      <w:pPr>
        <w:jc w:val="both"/>
        <w:rPr>
          <w:sz w:val="22"/>
          <w:szCs w:val="22"/>
          <w:lang w:val="es-ES" w:eastAsia="de-DE"/>
        </w:rPr>
      </w:pPr>
    </w:p>
    <w:p w14:paraId="703719DA" w14:textId="0CE7A44E" w:rsidR="00A72108" w:rsidRPr="00B715A4" w:rsidRDefault="00A72108" w:rsidP="00E7367C">
      <w:pPr>
        <w:jc w:val="both"/>
        <w:rPr>
          <w:sz w:val="22"/>
          <w:szCs w:val="22"/>
          <w:lang w:val="es-ES" w:eastAsia="de-DE"/>
        </w:rPr>
      </w:pPr>
    </w:p>
    <w:p w14:paraId="2D96F6C4" w14:textId="13857A0C" w:rsidR="00A72108" w:rsidRPr="00B715A4" w:rsidRDefault="00A72108" w:rsidP="00E7367C">
      <w:pPr>
        <w:jc w:val="both"/>
        <w:rPr>
          <w:sz w:val="22"/>
          <w:szCs w:val="22"/>
          <w:lang w:val="es-ES" w:eastAsia="de-DE"/>
        </w:rPr>
      </w:pPr>
    </w:p>
    <w:p w14:paraId="02A7E4B9" w14:textId="7DFE2FD2" w:rsidR="00A72108" w:rsidRPr="00B715A4" w:rsidRDefault="00A72108" w:rsidP="00E7367C">
      <w:pPr>
        <w:jc w:val="both"/>
        <w:rPr>
          <w:sz w:val="22"/>
          <w:szCs w:val="22"/>
          <w:lang w:val="es-ES" w:eastAsia="de-DE"/>
        </w:rPr>
      </w:pPr>
    </w:p>
    <w:p w14:paraId="5D402ED5" w14:textId="77777777" w:rsidR="00B715A4" w:rsidRPr="008601CC" w:rsidRDefault="00B715A4" w:rsidP="00E7367C">
      <w:pPr>
        <w:pStyle w:val="HeadlineFotos"/>
        <w:spacing w:line="240" w:lineRule="auto"/>
        <w:rPr>
          <w:rFonts w:eastAsia="Calibri" w:cs="Arial"/>
          <w:caps w:val="0"/>
          <w:szCs w:val="22"/>
          <w:lang w:val="es-ES"/>
        </w:rPr>
      </w:pPr>
    </w:p>
    <w:p w14:paraId="69C8B030" w14:textId="10F68B06" w:rsidR="00534F30" w:rsidRPr="00E22034" w:rsidRDefault="00534F30" w:rsidP="00E7367C">
      <w:pPr>
        <w:pStyle w:val="HeadlineFotos"/>
        <w:spacing w:line="240" w:lineRule="auto"/>
      </w:pPr>
      <w:r w:rsidRPr="00E22034">
        <w:rPr>
          <w:rFonts w:eastAsia="Calibri" w:cs="Arial"/>
          <w:caps w:val="0"/>
          <w:szCs w:val="22"/>
        </w:rPr>
        <w:lastRenderedPageBreak/>
        <w:t>Fotos</w:t>
      </w:r>
      <w:r w:rsidRPr="00E22034">
        <w:t>:</w:t>
      </w:r>
    </w:p>
    <w:tbl>
      <w:tblPr>
        <w:tblW w:w="0" w:type="auto"/>
        <w:tblCellSpacing w:w="71" w:type="dxa"/>
        <w:tblCellMar>
          <w:left w:w="0" w:type="dxa"/>
          <w:right w:w="0" w:type="dxa"/>
        </w:tblCellMar>
        <w:tblLook w:val="04A0" w:firstRow="1" w:lastRow="0" w:firstColumn="1" w:lastColumn="0" w:noHBand="0" w:noVBand="1"/>
      </w:tblPr>
      <w:tblGrid>
        <w:gridCol w:w="4921"/>
        <w:gridCol w:w="4576"/>
      </w:tblGrid>
      <w:tr w:rsidR="00BE5437" w:rsidRPr="008601CC" w14:paraId="1DE05AEF" w14:textId="77777777" w:rsidTr="00B76B06">
        <w:trPr>
          <w:trHeight w:val="2270"/>
          <w:tblCellSpacing w:w="71" w:type="dxa"/>
        </w:trPr>
        <w:tc>
          <w:tcPr>
            <w:tcW w:w="4708" w:type="dxa"/>
            <w:tcBorders>
              <w:right w:val="single" w:sz="4" w:space="0" w:color="auto"/>
            </w:tcBorders>
            <w:shd w:val="clear" w:color="auto" w:fill="auto"/>
          </w:tcPr>
          <w:p w14:paraId="531C05EA" w14:textId="67084DAF" w:rsidR="0084388B" w:rsidRPr="00E04039" w:rsidRDefault="009B33F8" w:rsidP="00B76B06">
            <w:r>
              <w:rPr>
                <w:noProof/>
              </w:rPr>
              <w:t xml:space="preserve"> </w:t>
            </w:r>
            <w:r>
              <w:rPr>
                <w:noProof/>
              </w:rPr>
              <w:drawing>
                <wp:inline distT="0" distB="0" distL="0" distR="0" wp14:anchorId="44992284" wp14:editId="0432D278">
                  <wp:extent cx="2675255" cy="1786363"/>
                  <wp:effectExtent l="0" t="0" r="0" b="4445"/>
                  <wp:docPr id="10" name="Grafik 10"/>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8"/>
                          <a:stretch>
                            <a:fillRect/>
                          </a:stretch>
                        </pic:blipFill>
                        <pic:spPr>
                          <a:xfrm>
                            <a:off x="0" y="0"/>
                            <a:ext cx="2675255" cy="1786363"/>
                          </a:xfrm>
                          <a:prstGeom prst="rect">
                            <a:avLst/>
                          </a:prstGeom>
                        </pic:spPr>
                      </pic:pic>
                    </a:graphicData>
                  </a:graphic>
                </wp:inline>
              </w:drawing>
            </w:r>
          </w:p>
        </w:tc>
        <w:tc>
          <w:tcPr>
            <w:tcW w:w="4363" w:type="dxa"/>
            <w:shd w:val="clear" w:color="auto" w:fill="auto"/>
          </w:tcPr>
          <w:p w14:paraId="751BD219" w14:textId="0819B4A2" w:rsidR="0084388B" w:rsidRPr="00B715A4" w:rsidRDefault="008601CC" w:rsidP="00B76B06">
            <w:pPr>
              <w:pStyle w:val="berschrift31"/>
              <w:widowControl w:val="0"/>
              <w:rPr>
                <w:lang w:val="es-ES"/>
              </w:rPr>
            </w:pPr>
            <w:r>
              <w:rPr>
                <w:lang w:val="es-ES"/>
              </w:rPr>
              <w:t>HAMM</w:t>
            </w:r>
            <w:r w:rsidR="00AF5DF0" w:rsidRPr="00B715A4">
              <w:rPr>
                <w:lang w:val="es-ES"/>
              </w:rPr>
              <w:t>_</w:t>
            </w:r>
            <w:r w:rsidR="00B715A4">
              <w:rPr>
                <w:lang w:val="es-ES"/>
              </w:rPr>
              <w:t>HP Series</w:t>
            </w:r>
            <w:r w:rsidR="00233581" w:rsidRPr="00B715A4">
              <w:rPr>
                <w:lang w:val="es-ES"/>
              </w:rPr>
              <w:t>_01</w:t>
            </w:r>
          </w:p>
          <w:p w14:paraId="15E218DC" w14:textId="3E65B2E7" w:rsidR="0084388B" w:rsidRPr="00B715A4" w:rsidRDefault="00B715A4" w:rsidP="00B76B06">
            <w:pPr>
              <w:autoSpaceDE w:val="0"/>
              <w:autoSpaceDN w:val="0"/>
              <w:adjustRightInd w:val="0"/>
              <w:rPr>
                <w:sz w:val="20"/>
                <w:szCs w:val="20"/>
                <w:lang w:val="es-ES"/>
              </w:rPr>
            </w:pPr>
            <w:r w:rsidRPr="00B715A4">
              <w:rPr>
                <w:rFonts w:cs="Arial"/>
                <w:sz w:val="20"/>
                <w:szCs w:val="20"/>
                <w:lang w:val="es-ES"/>
              </w:rPr>
              <w:t xml:space="preserve">Como la mayoría de rodillos de neumáticos en Turquía, también el HP 280 empleado en Ankara se equipó con faldones térmicos. </w:t>
            </w:r>
          </w:p>
        </w:tc>
      </w:tr>
      <w:tr w:rsidR="00952F1F" w:rsidRPr="008601CC" w14:paraId="4DDC7F6F" w14:textId="77777777" w:rsidTr="00B76B06">
        <w:trPr>
          <w:trHeight w:val="2270"/>
          <w:tblCellSpacing w:w="71" w:type="dxa"/>
        </w:trPr>
        <w:tc>
          <w:tcPr>
            <w:tcW w:w="4708" w:type="dxa"/>
            <w:tcBorders>
              <w:right w:val="single" w:sz="4" w:space="0" w:color="auto"/>
            </w:tcBorders>
            <w:shd w:val="clear" w:color="auto" w:fill="auto"/>
          </w:tcPr>
          <w:p w14:paraId="0BAA9484" w14:textId="287C9C5C" w:rsidR="00952F1F" w:rsidRDefault="00952F1F" w:rsidP="00B76B06">
            <w:pPr>
              <w:rPr>
                <w:noProof/>
              </w:rPr>
            </w:pPr>
            <w:r>
              <w:rPr>
                <w:noProof/>
              </w:rPr>
              <w:drawing>
                <wp:inline distT="0" distB="0" distL="0" distR="0" wp14:anchorId="4F874751" wp14:editId="5576F927">
                  <wp:extent cx="2716038" cy="1813596"/>
                  <wp:effectExtent l="0" t="0" r="8255" b="0"/>
                  <wp:docPr id="11" name="Grafik 1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9"/>
                          <a:stretch>
                            <a:fillRect/>
                          </a:stretch>
                        </pic:blipFill>
                        <pic:spPr>
                          <a:xfrm>
                            <a:off x="0" y="0"/>
                            <a:ext cx="2716038" cy="1813596"/>
                          </a:xfrm>
                          <a:prstGeom prst="rect">
                            <a:avLst/>
                          </a:prstGeom>
                        </pic:spPr>
                      </pic:pic>
                    </a:graphicData>
                  </a:graphic>
                </wp:inline>
              </w:drawing>
            </w:r>
          </w:p>
        </w:tc>
        <w:tc>
          <w:tcPr>
            <w:tcW w:w="4363" w:type="dxa"/>
            <w:shd w:val="clear" w:color="auto" w:fill="auto"/>
          </w:tcPr>
          <w:p w14:paraId="64E03866" w14:textId="32FAEF47" w:rsidR="00952F1F" w:rsidRPr="008601CC" w:rsidRDefault="008601CC" w:rsidP="00952F1F">
            <w:pPr>
              <w:pStyle w:val="berschrift31"/>
              <w:widowControl w:val="0"/>
              <w:rPr>
                <w:lang w:val="es-ES"/>
              </w:rPr>
            </w:pPr>
            <w:r>
              <w:rPr>
                <w:lang w:val="es-ES"/>
              </w:rPr>
              <w:t>HAMM</w:t>
            </w:r>
            <w:r w:rsidR="00952F1F" w:rsidRPr="008601CC">
              <w:rPr>
                <w:lang w:val="es-ES"/>
              </w:rPr>
              <w:t>_</w:t>
            </w:r>
            <w:r w:rsidR="00B715A4" w:rsidRPr="008601CC">
              <w:rPr>
                <w:lang w:val="es-ES"/>
              </w:rPr>
              <w:t>HP Series</w:t>
            </w:r>
            <w:r w:rsidR="00952F1F" w:rsidRPr="008601CC">
              <w:rPr>
                <w:lang w:val="es-ES"/>
              </w:rPr>
              <w:t>_02</w:t>
            </w:r>
          </w:p>
          <w:p w14:paraId="2A104965" w14:textId="0C3704DF" w:rsidR="00952F1F" w:rsidRPr="00B715A4" w:rsidRDefault="00B715A4" w:rsidP="00F64D64">
            <w:pPr>
              <w:pStyle w:val="berschrift31"/>
              <w:widowControl w:val="0"/>
              <w:spacing w:line="240" w:lineRule="auto"/>
              <w:jc w:val="left"/>
              <w:rPr>
                <w:b w:val="0"/>
                <w:bCs/>
                <w:lang w:val="es-ES"/>
              </w:rPr>
            </w:pPr>
            <w:r w:rsidRPr="00B715A4">
              <w:rPr>
                <w:b w:val="0"/>
                <w:bCs/>
                <w:lang w:val="es-ES"/>
              </w:rPr>
              <w:t>Un elemento distintivo destacado: entre otros, el gran depósito de agua con un volumen de 650 l logra que los rodillos de neumáticos de la serie HP sean especialmente productivos.</w:t>
            </w:r>
            <w:r>
              <w:rPr>
                <w:b w:val="0"/>
                <w:bCs/>
                <w:lang w:val="es-ES"/>
              </w:rPr>
              <w:t xml:space="preserve"> </w:t>
            </w:r>
            <w:r w:rsidRPr="00B715A4">
              <w:rPr>
                <w:b w:val="0"/>
                <w:bCs/>
                <w:lang w:val="es-ES"/>
              </w:rPr>
              <w:t>La imagen muestra una HP 280i en acción cerca de Voggenthal.</w:t>
            </w:r>
          </w:p>
        </w:tc>
      </w:tr>
      <w:tr w:rsidR="00952F1F" w:rsidRPr="008601CC" w14:paraId="3FCF31B7" w14:textId="77777777" w:rsidTr="00B76B06">
        <w:trPr>
          <w:trHeight w:val="2270"/>
          <w:tblCellSpacing w:w="71" w:type="dxa"/>
        </w:trPr>
        <w:tc>
          <w:tcPr>
            <w:tcW w:w="4708" w:type="dxa"/>
            <w:tcBorders>
              <w:right w:val="single" w:sz="4" w:space="0" w:color="auto"/>
            </w:tcBorders>
            <w:shd w:val="clear" w:color="auto" w:fill="auto"/>
          </w:tcPr>
          <w:p w14:paraId="3027F65C" w14:textId="1F983A5D" w:rsidR="00952F1F" w:rsidRDefault="00952F1F" w:rsidP="00B76B06">
            <w:pPr>
              <w:rPr>
                <w:noProof/>
              </w:rPr>
            </w:pPr>
            <w:r>
              <w:rPr>
                <w:noProof/>
              </w:rPr>
              <w:drawing>
                <wp:inline distT="0" distB="0" distL="0" distR="0" wp14:anchorId="2E03D089" wp14:editId="62DEFCD9">
                  <wp:extent cx="2716038" cy="1810692"/>
                  <wp:effectExtent l="0" t="0" r="8255" b="0"/>
                  <wp:docPr id="13" name="Grafik 13"/>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a:stretch>
                            <a:fillRect/>
                          </a:stretch>
                        </pic:blipFill>
                        <pic:spPr>
                          <a:xfrm>
                            <a:off x="0" y="0"/>
                            <a:ext cx="2716038" cy="1810692"/>
                          </a:xfrm>
                          <a:prstGeom prst="rect">
                            <a:avLst/>
                          </a:prstGeom>
                        </pic:spPr>
                      </pic:pic>
                    </a:graphicData>
                  </a:graphic>
                </wp:inline>
              </w:drawing>
            </w:r>
          </w:p>
        </w:tc>
        <w:tc>
          <w:tcPr>
            <w:tcW w:w="4363" w:type="dxa"/>
            <w:shd w:val="clear" w:color="auto" w:fill="auto"/>
          </w:tcPr>
          <w:p w14:paraId="1A54C2E2" w14:textId="1026073E" w:rsidR="00670020" w:rsidRPr="008601CC" w:rsidRDefault="008601CC" w:rsidP="00670020">
            <w:pPr>
              <w:pStyle w:val="berschrift31"/>
              <w:widowControl w:val="0"/>
              <w:rPr>
                <w:lang w:val="es-ES"/>
              </w:rPr>
            </w:pPr>
            <w:r>
              <w:rPr>
                <w:lang w:val="es-ES"/>
              </w:rPr>
              <w:t>HAMM</w:t>
            </w:r>
            <w:r w:rsidR="00670020" w:rsidRPr="008601CC">
              <w:rPr>
                <w:lang w:val="es-ES"/>
              </w:rPr>
              <w:t>_</w:t>
            </w:r>
            <w:r w:rsidR="00B715A4" w:rsidRPr="008601CC">
              <w:rPr>
                <w:lang w:val="es-ES"/>
              </w:rPr>
              <w:t>HP Series</w:t>
            </w:r>
            <w:r w:rsidR="00670020" w:rsidRPr="008601CC">
              <w:rPr>
                <w:lang w:val="es-ES"/>
              </w:rPr>
              <w:t>_03</w:t>
            </w:r>
          </w:p>
          <w:p w14:paraId="0822F2F4" w14:textId="2C559DBC" w:rsidR="00952F1F" w:rsidRPr="00B715A4" w:rsidRDefault="00B715A4" w:rsidP="00F64D64">
            <w:pPr>
              <w:pStyle w:val="berschrift31"/>
              <w:widowControl w:val="0"/>
              <w:spacing w:line="240" w:lineRule="auto"/>
              <w:jc w:val="left"/>
              <w:rPr>
                <w:b w:val="0"/>
                <w:bCs/>
                <w:lang w:val="es-ES"/>
              </w:rPr>
            </w:pPr>
            <w:r w:rsidRPr="00B715A4">
              <w:rPr>
                <w:rFonts w:cs="Arial"/>
                <w:b w:val="0"/>
                <w:bCs/>
                <w:szCs w:val="22"/>
                <w:lang w:val="es-ES"/>
              </w:rPr>
              <w:t xml:space="preserve">La nueva calefacción de neumáticos accionada por diésel está disponible de fábrica en </w:t>
            </w:r>
            <w:r w:rsidR="008601CC">
              <w:rPr>
                <w:rFonts w:cs="Arial"/>
                <w:b w:val="0"/>
                <w:bCs/>
                <w:szCs w:val="22"/>
                <w:lang w:val="es-ES"/>
              </w:rPr>
              <w:t>Hamm</w:t>
            </w:r>
            <w:r w:rsidRPr="00B715A4">
              <w:rPr>
                <w:rFonts w:cs="Arial"/>
                <w:b w:val="0"/>
                <w:bCs/>
                <w:szCs w:val="22"/>
                <w:lang w:val="es-ES"/>
              </w:rPr>
              <w:t>. La imagen muestra una HP 180i con la nueva calefacción de neumáticos durante los trabajos de compactación de una capa de base de 9 m de ancho para una carretera de circunvalación cerca de Friedrichshafen.</w:t>
            </w:r>
          </w:p>
        </w:tc>
      </w:tr>
      <w:tr w:rsidR="00670020" w:rsidRPr="008601CC" w14:paraId="724C5279" w14:textId="77777777" w:rsidTr="00B76B06">
        <w:trPr>
          <w:trHeight w:val="2270"/>
          <w:tblCellSpacing w:w="71" w:type="dxa"/>
        </w:trPr>
        <w:tc>
          <w:tcPr>
            <w:tcW w:w="4708" w:type="dxa"/>
            <w:tcBorders>
              <w:right w:val="single" w:sz="4" w:space="0" w:color="auto"/>
            </w:tcBorders>
            <w:shd w:val="clear" w:color="auto" w:fill="auto"/>
          </w:tcPr>
          <w:p w14:paraId="37C00E5E" w14:textId="342C3400" w:rsidR="00670020" w:rsidRDefault="00670020" w:rsidP="00B76B06">
            <w:pPr>
              <w:rPr>
                <w:noProof/>
              </w:rPr>
            </w:pPr>
            <w:r>
              <w:rPr>
                <w:noProof/>
              </w:rPr>
              <w:drawing>
                <wp:inline distT="0" distB="0" distL="0" distR="0" wp14:anchorId="1ED3C1E3" wp14:editId="34645929">
                  <wp:extent cx="2716038" cy="1813595"/>
                  <wp:effectExtent l="0" t="0" r="8255" b="0"/>
                  <wp:docPr id="15" name="Grafik 15"/>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1"/>
                          <a:stretch>
                            <a:fillRect/>
                          </a:stretch>
                        </pic:blipFill>
                        <pic:spPr>
                          <a:xfrm>
                            <a:off x="0" y="0"/>
                            <a:ext cx="2716038" cy="1813595"/>
                          </a:xfrm>
                          <a:prstGeom prst="rect">
                            <a:avLst/>
                          </a:prstGeom>
                        </pic:spPr>
                      </pic:pic>
                    </a:graphicData>
                  </a:graphic>
                </wp:inline>
              </w:drawing>
            </w:r>
          </w:p>
        </w:tc>
        <w:tc>
          <w:tcPr>
            <w:tcW w:w="4363" w:type="dxa"/>
            <w:shd w:val="clear" w:color="auto" w:fill="auto"/>
          </w:tcPr>
          <w:p w14:paraId="62FF7E35" w14:textId="239D1575" w:rsidR="00670020" w:rsidRPr="008601CC" w:rsidRDefault="008601CC" w:rsidP="00670020">
            <w:pPr>
              <w:pStyle w:val="berschrift31"/>
              <w:widowControl w:val="0"/>
              <w:rPr>
                <w:lang w:val="es-ES"/>
              </w:rPr>
            </w:pPr>
            <w:r>
              <w:rPr>
                <w:lang w:val="es-ES"/>
              </w:rPr>
              <w:t>HAMM</w:t>
            </w:r>
            <w:r w:rsidR="00670020" w:rsidRPr="008601CC">
              <w:rPr>
                <w:lang w:val="es-ES"/>
              </w:rPr>
              <w:t>_</w:t>
            </w:r>
            <w:r w:rsidR="00B715A4" w:rsidRPr="008601CC">
              <w:rPr>
                <w:lang w:val="es-ES"/>
              </w:rPr>
              <w:t>HP Series</w:t>
            </w:r>
            <w:r w:rsidR="00670020" w:rsidRPr="008601CC">
              <w:rPr>
                <w:lang w:val="es-ES"/>
              </w:rPr>
              <w:t>_04</w:t>
            </w:r>
          </w:p>
          <w:p w14:paraId="5DF3F008" w14:textId="6A24A557" w:rsidR="00670020" w:rsidRPr="00B715A4" w:rsidRDefault="00B715A4" w:rsidP="00F64D64">
            <w:pPr>
              <w:pStyle w:val="berschrift31"/>
              <w:widowControl w:val="0"/>
              <w:spacing w:line="240" w:lineRule="auto"/>
              <w:jc w:val="left"/>
              <w:rPr>
                <w:b w:val="0"/>
                <w:bCs/>
                <w:lang w:val="es-ES"/>
              </w:rPr>
            </w:pPr>
            <w:r w:rsidRPr="00B715A4">
              <w:rPr>
                <w:rFonts w:cs="Arial"/>
                <w:b w:val="0"/>
                <w:bCs/>
                <w:szCs w:val="22"/>
                <w:lang w:val="es-ES"/>
              </w:rPr>
              <w:t>El modelo adecuado para todos los mercados: Mientras que los modelos HP 180 y HP 280 (izquierda) se exportan a los mercados Tier 3, los modelos HP 180i y HP 280i (derecha) están destinados a los mercados con normas de emisiones EPA Tier 4 / EU Stage V. Todos los modelos Hamm están construidos sobre la misma plataforma.</w:t>
            </w:r>
          </w:p>
        </w:tc>
      </w:tr>
    </w:tbl>
    <w:p w14:paraId="51E8E071" w14:textId="77777777" w:rsidR="00E86A52" w:rsidRPr="00B715A4" w:rsidRDefault="00E86A52" w:rsidP="009B2BA5">
      <w:pPr>
        <w:pStyle w:val="Text"/>
        <w:rPr>
          <w:i/>
          <w:u w:val="single"/>
          <w:lang w:val="es-ES"/>
        </w:rPr>
      </w:pPr>
    </w:p>
    <w:p w14:paraId="20911CED" w14:textId="77777777" w:rsidR="00B715A4" w:rsidRPr="00743513" w:rsidRDefault="00B715A4" w:rsidP="00B715A4">
      <w:pPr>
        <w:pStyle w:val="Text"/>
        <w:rPr>
          <w:i/>
          <w:szCs w:val="22"/>
          <w:lang w:val="es-ES_tradnl"/>
        </w:rPr>
      </w:pPr>
      <w:r w:rsidRPr="00743513">
        <w:rPr>
          <w:i/>
          <w:szCs w:val="22"/>
          <w:u w:val="single"/>
          <w:lang w:val="es-ES_tradnl"/>
        </w:rPr>
        <w:lastRenderedPageBreak/>
        <w:t>Nota:</w:t>
      </w:r>
      <w:r w:rsidRPr="00743513">
        <w:rPr>
          <w:i/>
          <w:szCs w:val="22"/>
          <w:lang w:val="es-ES_tradnl"/>
        </w:rPr>
        <w:t xml:space="preserve"> Estas fotos sirven únicamente de vista previa. Para la impresión en las publicaciones, por favor, utilice fotos con una resolución de 300 dpi que podrá descargar de las páginas web del Wirtgen Group.</w:t>
      </w:r>
    </w:p>
    <w:p w14:paraId="7A0F7507" w14:textId="77777777" w:rsidR="00B715A4" w:rsidRPr="00743513" w:rsidRDefault="00B715A4" w:rsidP="00B715A4">
      <w:pPr>
        <w:pStyle w:val="Text"/>
        <w:rPr>
          <w:szCs w:val="22"/>
          <w:lang w:val="es-ES_tradnl"/>
        </w:rPr>
      </w:pPr>
    </w:p>
    <w:p w14:paraId="3E0991F1" w14:textId="77777777" w:rsidR="00B715A4" w:rsidRPr="00743513" w:rsidRDefault="00B715A4" w:rsidP="00B715A4">
      <w:pPr>
        <w:pStyle w:val="Text"/>
        <w:rPr>
          <w:szCs w:val="22"/>
          <w:lang w:val="es-ES_tradnl"/>
        </w:rPr>
      </w:pPr>
    </w:p>
    <w:tbl>
      <w:tblPr>
        <w:tblStyle w:val="Basic"/>
        <w:tblW w:w="0" w:type="auto"/>
        <w:tblLook w:val="04A0" w:firstRow="1" w:lastRow="0" w:firstColumn="1" w:lastColumn="0" w:noHBand="0" w:noVBand="1"/>
      </w:tblPr>
      <w:tblGrid>
        <w:gridCol w:w="4779"/>
        <w:gridCol w:w="4745"/>
      </w:tblGrid>
      <w:tr w:rsidR="00B715A4" w:rsidRPr="00743513" w14:paraId="7708536C" w14:textId="77777777" w:rsidTr="00FC7E7D">
        <w:trPr>
          <w:cnfStyle w:val="100000000000" w:firstRow="1" w:lastRow="0" w:firstColumn="0" w:lastColumn="0" w:oddVBand="0" w:evenVBand="0" w:oddHBand="0" w:evenHBand="0" w:firstRowFirstColumn="0" w:firstRowLastColumn="0" w:lastRowFirstColumn="0" w:lastRowLastColumn="0"/>
        </w:trPr>
        <w:tc>
          <w:tcPr>
            <w:tcW w:w="4832" w:type="dxa"/>
            <w:tcBorders>
              <w:right w:val="single" w:sz="48" w:space="0" w:color="FFFFFF" w:themeColor="background1"/>
            </w:tcBorders>
          </w:tcPr>
          <w:p w14:paraId="1030A2E5" w14:textId="77777777" w:rsidR="00B715A4" w:rsidRPr="00743513" w:rsidRDefault="00B715A4" w:rsidP="00FC7E7D">
            <w:pPr>
              <w:pStyle w:val="HeadlineKontakte"/>
              <w:rPr>
                <w:szCs w:val="22"/>
                <w:lang w:val="es-ES_tradnl"/>
              </w:rPr>
            </w:pPr>
            <w:r w:rsidRPr="00743513">
              <w:rPr>
                <w:szCs w:val="22"/>
                <w:lang w:val="es-ES_tradnl"/>
              </w:rPr>
              <w:t>SI DESEA INFORMACIÓN MÁS DETALLADA, DIRÍJASE A:</w:t>
            </w:r>
          </w:p>
          <w:p w14:paraId="34E5E496" w14:textId="77777777" w:rsidR="00B715A4" w:rsidRPr="00B715A4" w:rsidRDefault="00B715A4" w:rsidP="00FC7E7D">
            <w:pPr>
              <w:pStyle w:val="Text"/>
              <w:rPr>
                <w:szCs w:val="22"/>
              </w:rPr>
            </w:pPr>
            <w:r w:rsidRPr="00B715A4">
              <w:rPr>
                <w:szCs w:val="22"/>
              </w:rPr>
              <w:t>WIRTGEN GROUP</w:t>
            </w:r>
          </w:p>
          <w:p w14:paraId="727F2D93" w14:textId="77777777" w:rsidR="00B715A4" w:rsidRPr="00B715A4" w:rsidRDefault="00B715A4" w:rsidP="00FC7E7D">
            <w:pPr>
              <w:pStyle w:val="Text"/>
              <w:rPr>
                <w:szCs w:val="22"/>
              </w:rPr>
            </w:pPr>
            <w:r w:rsidRPr="00B715A4">
              <w:rPr>
                <w:szCs w:val="22"/>
              </w:rPr>
              <w:t>Public Relations</w:t>
            </w:r>
          </w:p>
          <w:p w14:paraId="14044D80" w14:textId="77777777" w:rsidR="00B715A4" w:rsidRPr="00B715A4" w:rsidRDefault="00B715A4" w:rsidP="00FC7E7D">
            <w:pPr>
              <w:pStyle w:val="Text"/>
              <w:rPr>
                <w:szCs w:val="22"/>
              </w:rPr>
            </w:pPr>
            <w:r w:rsidRPr="00B715A4">
              <w:rPr>
                <w:szCs w:val="22"/>
              </w:rPr>
              <w:t>Reinhard-Wirtgen-Straße 2</w:t>
            </w:r>
          </w:p>
          <w:p w14:paraId="041DECF6" w14:textId="77777777" w:rsidR="00B715A4" w:rsidRPr="00743513" w:rsidRDefault="00B715A4" w:rsidP="00FC7E7D">
            <w:pPr>
              <w:pStyle w:val="Text"/>
              <w:rPr>
                <w:szCs w:val="22"/>
              </w:rPr>
            </w:pPr>
            <w:r w:rsidRPr="00743513">
              <w:rPr>
                <w:szCs w:val="22"/>
              </w:rPr>
              <w:t>53578 Windhagen</w:t>
            </w:r>
          </w:p>
          <w:p w14:paraId="0B185B75" w14:textId="77777777" w:rsidR="00B715A4" w:rsidRPr="00743513" w:rsidRDefault="00B715A4" w:rsidP="00FC7E7D">
            <w:pPr>
              <w:pStyle w:val="Text"/>
              <w:rPr>
                <w:szCs w:val="22"/>
              </w:rPr>
            </w:pPr>
            <w:r w:rsidRPr="00743513">
              <w:rPr>
                <w:szCs w:val="22"/>
              </w:rPr>
              <w:t>Alemania</w:t>
            </w:r>
          </w:p>
          <w:p w14:paraId="407952EC" w14:textId="77777777" w:rsidR="00B715A4" w:rsidRPr="00743513" w:rsidRDefault="00B715A4" w:rsidP="00FC7E7D">
            <w:pPr>
              <w:pStyle w:val="Text"/>
              <w:rPr>
                <w:szCs w:val="22"/>
              </w:rPr>
            </w:pPr>
          </w:p>
          <w:p w14:paraId="096F0327" w14:textId="77777777" w:rsidR="00B715A4" w:rsidRPr="00743513" w:rsidRDefault="00B715A4" w:rsidP="00FC7E7D">
            <w:pPr>
              <w:pStyle w:val="Text"/>
              <w:rPr>
                <w:szCs w:val="22"/>
              </w:rPr>
            </w:pPr>
            <w:r w:rsidRPr="00743513">
              <w:rPr>
                <w:szCs w:val="22"/>
              </w:rPr>
              <w:t>Teléfono:   +49 (0) 2645 131 – 1966</w:t>
            </w:r>
          </w:p>
          <w:p w14:paraId="02D8935D" w14:textId="77777777" w:rsidR="00B715A4" w:rsidRPr="00743513" w:rsidRDefault="00B715A4" w:rsidP="00FC7E7D">
            <w:pPr>
              <w:pStyle w:val="Text"/>
              <w:rPr>
                <w:szCs w:val="22"/>
                <w:lang w:val="it-IT"/>
              </w:rPr>
            </w:pPr>
            <w:r w:rsidRPr="00743513">
              <w:rPr>
                <w:szCs w:val="22"/>
                <w:lang w:val="it-IT"/>
              </w:rPr>
              <w:t>Telefax:     +49 (0) 2645 131 – 499</w:t>
            </w:r>
          </w:p>
          <w:p w14:paraId="4999FFFF" w14:textId="77777777" w:rsidR="00B715A4" w:rsidRPr="00743513" w:rsidRDefault="00B715A4" w:rsidP="00FC7E7D">
            <w:pPr>
              <w:pStyle w:val="Text"/>
              <w:rPr>
                <w:szCs w:val="22"/>
              </w:rPr>
            </w:pPr>
            <w:r w:rsidRPr="00743513">
              <w:rPr>
                <w:szCs w:val="22"/>
                <w:lang w:val="it-IT"/>
              </w:rPr>
              <w:t xml:space="preserve">E-mail:       </w:t>
            </w:r>
            <w:r w:rsidRPr="00743513">
              <w:rPr>
                <w:szCs w:val="22"/>
              </w:rPr>
              <w:t>PR@wirtgen-group.com</w:t>
            </w:r>
          </w:p>
          <w:p w14:paraId="33FEAFBC" w14:textId="77777777" w:rsidR="00B715A4" w:rsidRPr="00743513" w:rsidRDefault="00B715A4" w:rsidP="00FC7E7D">
            <w:pPr>
              <w:pStyle w:val="Text"/>
              <w:rPr>
                <w:szCs w:val="22"/>
                <w:lang w:val="es-ES_tradnl"/>
              </w:rPr>
            </w:pPr>
            <w:r w:rsidRPr="00743513">
              <w:rPr>
                <w:szCs w:val="22"/>
              </w:rPr>
              <w:t>www.wirtgen-group.com</w:t>
            </w:r>
          </w:p>
        </w:tc>
        <w:tc>
          <w:tcPr>
            <w:tcW w:w="4832" w:type="dxa"/>
            <w:tcBorders>
              <w:left w:val="single" w:sz="48" w:space="0" w:color="FFFFFF" w:themeColor="background1"/>
            </w:tcBorders>
          </w:tcPr>
          <w:p w14:paraId="4CA87E76" w14:textId="77777777" w:rsidR="00B715A4" w:rsidRPr="00743513" w:rsidRDefault="00B715A4" w:rsidP="00FC7E7D">
            <w:pPr>
              <w:pStyle w:val="Text"/>
              <w:rPr>
                <w:szCs w:val="22"/>
                <w:lang w:val="es-ES_tradnl"/>
              </w:rPr>
            </w:pPr>
          </w:p>
        </w:tc>
      </w:tr>
    </w:tbl>
    <w:p w14:paraId="6345FFFA" w14:textId="77777777" w:rsidR="00D166AC" w:rsidRPr="00E04039" w:rsidRDefault="00D166AC" w:rsidP="009B2BA5">
      <w:pPr>
        <w:pStyle w:val="Text"/>
      </w:pPr>
    </w:p>
    <w:sectPr w:rsidR="00D166AC" w:rsidRPr="00E04039" w:rsidSect="00CA4A09">
      <w:headerReference w:type="default"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8D23E7A" w14:textId="77777777" w:rsidR="00BE7A5F" w:rsidRDefault="00BE7A5F" w:rsidP="00E55534">
      <w:r>
        <w:separator/>
      </w:r>
    </w:p>
  </w:endnote>
  <w:endnote w:type="continuationSeparator" w:id="0">
    <w:p w14:paraId="1B1340E6" w14:textId="77777777" w:rsidR="00BE7A5F" w:rsidRDefault="00BE7A5F"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Verdana">
    <w:panose1 w:val="020B0604030504040204"/>
    <w:charset w:val="00"/>
    <w:family w:val="swiss"/>
    <w:pitch w:val="variable"/>
    <w:sig w:usb0="A00006FF" w:usb1="4000205B" w:usb2="00000010" w:usb3="00000000" w:csb0="0000019F" w:csb1="00000000"/>
  </w:font>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HelveticaNeue-LightItalic">
    <w:altName w:val="Times New Roman"/>
    <w:charset w:val="00"/>
    <w:family w:val="auto"/>
    <w:pitch w:val="variable"/>
    <w:sig w:usb0="A00002FF" w:usb1="5000205B" w:usb2="00000002" w:usb3="00000000" w:csb0="00000007" w:csb1="00000000"/>
  </w:font>
  <w:font w:name="Arial Unicode MS">
    <w:panose1 w:val="020B0604020202020204"/>
    <w:charset w:val="80"/>
    <w:family w:val="swiss"/>
    <w:pitch w:val="variable"/>
    <w:sig w:usb0="F7FFAFFF" w:usb1="E9DFFFFF" w:usb2="0000003F" w:usb3="00000000" w:csb0="003F01FF" w:csb1="00000000"/>
  </w:font>
  <w:font w:name="Lucida Sans">
    <w:panose1 w:val="020B0602030504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35E96F3F" w14:textId="77777777" w:rsidTr="00723F4F">
      <w:trPr>
        <w:trHeight w:hRule="exact" w:val="227"/>
      </w:trPr>
      <w:tc>
        <w:tcPr>
          <w:tcW w:w="8364" w:type="dxa"/>
          <w:shd w:val="clear" w:color="auto" w:fill="auto"/>
        </w:tcPr>
        <w:p w14:paraId="6203B0C3" w14:textId="77777777" w:rsidR="00533132" w:rsidRPr="00723F4F" w:rsidRDefault="00533132" w:rsidP="00723F4F">
          <w:pPr>
            <w:pStyle w:val="Kolumnentitel"/>
            <w:rPr>
              <w:szCs w:val="20"/>
            </w:rPr>
          </w:pPr>
        </w:p>
      </w:tc>
      <w:tc>
        <w:tcPr>
          <w:tcW w:w="1160" w:type="dxa"/>
          <w:shd w:val="clear" w:color="auto" w:fill="auto"/>
        </w:tcPr>
        <w:p w14:paraId="42A1027E" w14:textId="6D3591AF"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E050C2">
            <w:rPr>
              <w:noProof/>
              <w:szCs w:val="20"/>
            </w:rPr>
            <w:t>02</w:t>
          </w:r>
          <w:r w:rsidRPr="00723F4F">
            <w:rPr>
              <w:szCs w:val="20"/>
            </w:rPr>
            <w:fldChar w:fldCharType="end"/>
          </w:r>
        </w:p>
      </w:tc>
    </w:tr>
  </w:tbl>
  <w:p w14:paraId="575D84B3" w14:textId="43F4A184" w:rsidR="00533132" w:rsidRDefault="009E0361">
    <w:pPr>
      <w:pStyle w:val="Fuzeile"/>
    </w:pPr>
    <w:r>
      <w:rPr>
        <w:noProof/>
        <w:lang w:eastAsia="de-DE"/>
      </w:rPr>
      <mc:AlternateContent>
        <mc:Choice Requires="wps">
          <w:drawing>
            <wp:anchor distT="0" distB="0" distL="114300" distR="114300" simplePos="0" relativeHeight="251659264" behindDoc="0" locked="0" layoutInCell="1" allowOverlap="1" wp14:anchorId="0CE9E954" wp14:editId="4D8D61FA">
              <wp:simplePos x="0" y="0"/>
              <wp:positionH relativeFrom="page">
                <wp:posOffset>756285</wp:posOffset>
              </wp:positionH>
              <wp:positionV relativeFrom="page">
                <wp:posOffset>10189210</wp:posOffset>
              </wp:positionV>
              <wp:extent cx="6047740" cy="17780"/>
              <wp:effectExtent l="0" t="0" r="0" b="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12F2B0"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7E20730" w14:textId="77777777" w:rsidTr="00723F4F">
      <w:tc>
        <w:tcPr>
          <w:tcW w:w="9664" w:type="dxa"/>
          <w:shd w:val="clear" w:color="auto" w:fill="auto"/>
        </w:tcPr>
        <w:p w14:paraId="7C9EEC74" w14:textId="77777777" w:rsidR="00533132" w:rsidRPr="00723F4F" w:rsidRDefault="00533132" w:rsidP="00723F4F">
          <w:pPr>
            <w:pStyle w:val="Fuzeile"/>
            <w:spacing w:before="96" w:after="96"/>
            <w:rPr>
              <w:szCs w:val="20"/>
            </w:rPr>
          </w:pPr>
          <w:r w:rsidRPr="00723F4F">
            <w:rPr>
              <w:rStyle w:val="Hervorhebung"/>
              <w:szCs w:val="20"/>
            </w:rPr>
            <w:t>WIRTGEN GmbH</w:t>
          </w:r>
          <w:r w:rsidRPr="00723F4F">
            <w:rPr>
              <w:szCs w:val="20"/>
            </w:rPr>
            <w:t xml:space="preserve"> · Reinhard-Wirtgen-Str. 2 · D-53578 Windhagen · T: +49 26 45 / 131 0</w:t>
          </w:r>
        </w:p>
      </w:tc>
    </w:tr>
  </w:tbl>
  <w:p w14:paraId="353AAFC1" w14:textId="26D8D60D" w:rsidR="00533132" w:rsidRDefault="009E0361">
    <w:pPr>
      <w:pStyle w:val="Fuzeile"/>
    </w:pPr>
    <w:r>
      <w:rPr>
        <w:noProof/>
        <w:lang w:eastAsia="de-DE"/>
      </w:rPr>
      <mc:AlternateContent>
        <mc:Choice Requires="wps">
          <w:drawing>
            <wp:anchor distT="0" distB="0" distL="114300" distR="114300" simplePos="0" relativeHeight="251658240" behindDoc="0" locked="0" layoutInCell="1" allowOverlap="1" wp14:anchorId="54CF0F43" wp14:editId="4F98754C">
              <wp:simplePos x="0" y="0"/>
              <wp:positionH relativeFrom="page">
                <wp:posOffset>756285</wp:posOffset>
              </wp:positionH>
              <wp:positionV relativeFrom="page">
                <wp:posOffset>10081260</wp:posOffset>
              </wp:positionV>
              <wp:extent cx="6047740" cy="17780"/>
              <wp:effectExtent l="0" t="0" r="0" b="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C6A07C1"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7227112" w14:textId="77777777" w:rsidR="00BE7A5F" w:rsidRDefault="00BE7A5F" w:rsidP="00E55534">
      <w:r>
        <w:separator/>
      </w:r>
    </w:p>
  </w:footnote>
  <w:footnote w:type="continuationSeparator" w:id="0">
    <w:p w14:paraId="668D9E10" w14:textId="77777777" w:rsidR="00BE7A5F" w:rsidRDefault="00BE7A5F"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B8FF3B" w14:textId="028478AC" w:rsidR="00533132" w:rsidRPr="00533132" w:rsidRDefault="009E0361" w:rsidP="00533132">
    <w:pPr>
      <w:pStyle w:val="Kopfzeile"/>
    </w:pPr>
    <w:r>
      <w:rPr>
        <w:noProof/>
        <w:lang w:eastAsia="de-DE"/>
      </w:rPr>
      <w:drawing>
        <wp:anchor distT="0" distB="0" distL="114300" distR="114300" simplePos="0" relativeHeight="251660288" behindDoc="1" locked="0" layoutInCell="1" allowOverlap="1" wp14:anchorId="25DF91D2" wp14:editId="3E19E574">
          <wp:simplePos x="0" y="0"/>
          <wp:positionH relativeFrom="column">
            <wp:posOffset>-759460</wp:posOffset>
          </wp:positionH>
          <wp:positionV relativeFrom="paragraph">
            <wp:posOffset>-453390</wp:posOffset>
          </wp:positionV>
          <wp:extent cx="7559675" cy="10693400"/>
          <wp:effectExtent l="0" t="0" r="0" b="0"/>
          <wp:wrapNone/>
          <wp:docPr id="1"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BAF8E6E" w14:textId="71BF11F2" w:rsidR="00533132" w:rsidRDefault="009E0361">
    <w:pPr>
      <w:pStyle w:val="Kopfzeile"/>
    </w:pPr>
    <w:r>
      <w:rPr>
        <w:noProof/>
        <w:lang w:eastAsia="de-DE"/>
      </w:rPr>
      <mc:AlternateContent>
        <mc:Choice Requires="wps">
          <w:drawing>
            <wp:anchor distT="0" distB="0" distL="114300" distR="114300" simplePos="0" relativeHeight="251657216" behindDoc="0" locked="0" layoutInCell="1" allowOverlap="1" wp14:anchorId="04A8EC4C" wp14:editId="632DDE89">
              <wp:simplePos x="0" y="0"/>
              <wp:positionH relativeFrom="page">
                <wp:posOffset>756285</wp:posOffset>
              </wp:positionH>
              <wp:positionV relativeFrom="page">
                <wp:posOffset>935990</wp:posOffset>
              </wp:positionV>
              <wp:extent cx="6047740" cy="36195"/>
              <wp:effectExtent l="0" t="0" r="0" b="0"/>
              <wp:wrapNone/>
              <wp:docPr id="7"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F7B3D"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" fillcolor="#41535d" stroked="f" strokeweight="2pt">
              <w10:wrap anchorx="page" anchory="page"/>
            </v:rect>
          </w:pict>
        </mc:Fallback>
      </mc:AlternateContent>
    </w:r>
    <w:r>
      <w:rPr>
        <w:noProof/>
        <w:lang w:eastAsia="de-DE"/>
      </w:rPr>
      <w:drawing>
        <wp:anchor distT="0" distB="0" distL="114300" distR="114300" simplePos="0" relativeHeight="251656192" behindDoc="0" locked="0" layoutInCell="1" allowOverlap="1" wp14:anchorId="5F7DDC99" wp14:editId="16AD34BC">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pic:spPr>
              </pic:pic>
            </a:graphicData>
          </a:graphic>
          <wp14:sizeRelH relativeFrom="margin">
            <wp14:pctWidth>0</wp14:pctWidth>
          </wp14:sizeRelH>
          <wp14:sizeRelV relativeFrom="margin">
            <wp14:pctHeight>0</wp14:pctHeight>
          </wp14:sizeRelV>
        </wp:anchor>
      </w:drawing>
    </w:r>
    <w:r>
      <w:rPr>
        <w:noProof/>
        <w:lang w:eastAsia="de-DE"/>
      </w:rPr>
      <w:drawing>
        <wp:anchor distT="0" distB="0" distL="114300" distR="114300" simplePos="0" relativeHeight="251655168" behindDoc="0" locked="0" layoutInCell="1" allowOverlap="1" wp14:anchorId="7A84D43D" wp14:editId="03B110D2">
          <wp:simplePos x="0" y="0"/>
          <wp:positionH relativeFrom="page">
            <wp:posOffset>756285</wp:posOffset>
          </wp:positionH>
          <wp:positionV relativeFrom="page">
            <wp:posOffset>360045</wp:posOffset>
          </wp:positionV>
          <wp:extent cx="3290570" cy="360045"/>
          <wp:effectExtent l="0" t="0" r="0" b="0"/>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1672B73"/>
    <w:multiLevelType w:val="multilevel"/>
    <w:tmpl w:val="436E556E"/>
    <w:lvl w:ilvl="0">
      <w:start w:val="1"/>
      <w:numFmt w:val="decimal"/>
      <w:pStyle w:val="Themen"/>
      <w:lvlText w:val="%1."/>
      <w:lvlJc w:val="left"/>
      <w:pPr>
        <w:tabs>
          <w:tab w:val="num" w:pos="720"/>
        </w:tabs>
        <w:ind w:left="720" w:hanging="720"/>
      </w:pPr>
    </w:lvl>
    <w:lvl w:ilvl="1">
      <w:start w:val="1"/>
      <w:numFmt w:val="decimal"/>
      <w:pStyle w:val="Bulletpoint2"/>
      <w:lvlText w:val="%2."/>
      <w:lvlJc w:val="left"/>
      <w:pPr>
        <w:tabs>
          <w:tab w:val="num" w:pos="1440"/>
        </w:tabs>
        <w:ind w:left="1440" w:hanging="720"/>
      </w:pPr>
    </w:lvl>
    <w:lvl w:ilvl="2">
      <w:start w:val="1"/>
      <w:numFmt w:val="decimal"/>
      <w:pStyle w:val="Bulletpoint3"/>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ttachedTemplate r:id="rId1"/>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37E3"/>
    <w:rsid w:val="00004744"/>
    <w:rsid w:val="00010F2C"/>
    <w:rsid w:val="000148B3"/>
    <w:rsid w:val="00022125"/>
    <w:rsid w:val="00025FE3"/>
    <w:rsid w:val="00042106"/>
    <w:rsid w:val="00045385"/>
    <w:rsid w:val="0005285B"/>
    <w:rsid w:val="00055529"/>
    <w:rsid w:val="0006034A"/>
    <w:rsid w:val="00066D09"/>
    <w:rsid w:val="00087FED"/>
    <w:rsid w:val="0009665C"/>
    <w:rsid w:val="000976F7"/>
    <w:rsid w:val="000A36D9"/>
    <w:rsid w:val="000C7EF3"/>
    <w:rsid w:val="000D15C3"/>
    <w:rsid w:val="000D7655"/>
    <w:rsid w:val="000E24F8"/>
    <w:rsid w:val="000E4EF3"/>
    <w:rsid w:val="000F3C22"/>
    <w:rsid w:val="00103205"/>
    <w:rsid w:val="0010436E"/>
    <w:rsid w:val="00111C2C"/>
    <w:rsid w:val="0011241A"/>
    <w:rsid w:val="00115C38"/>
    <w:rsid w:val="0012026F"/>
    <w:rsid w:val="001218DF"/>
    <w:rsid w:val="00124922"/>
    <w:rsid w:val="001315E0"/>
    <w:rsid w:val="00132055"/>
    <w:rsid w:val="00135B2C"/>
    <w:rsid w:val="001423F9"/>
    <w:rsid w:val="00152008"/>
    <w:rsid w:val="00154E7A"/>
    <w:rsid w:val="001870BE"/>
    <w:rsid w:val="001B16BB"/>
    <w:rsid w:val="001D03EC"/>
    <w:rsid w:val="001D654E"/>
    <w:rsid w:val="001E3C89"/>
    <w:rsid w:val="001E4131"/>
    <w:rsid w:val="00210713"/>
    <w:rsid w:val="00222C18"/>
    <w:rsid w:val="00233581"/>
    <w:rsid w:val="00235AED"/>
    <w:rsid w:val="00253A2E"/>
    <w:rsid w:val="00254A4E"/>
    <w:rsid w:val="002603EC"/>
    <w:rsid w:val="002676CC"/>
    <w:rsid w:val="0027186D"/>
    <w:rsid w:val="00274F45"/>
    <w:rsid w:val="0028167B"/>
    <w:rsid w:val="00290196"/>
    <w:rsid w:val="00292A93"/>
    <w:rsid w:val="0029444E"/>
    <w:rsid w:val="0029634D"/>
    <w:rsid w:val="002A4937"/>
    <w:rsid w:val="002C1DB0"/>
    <w:rsid w:val="002C6D2B"/>
    <w:rsid w:val="002C79DB"/>
    <w:rsid w:val="002D0780"/>
    <w:rsid w:val="002D198A"/>
    <w:rsid w:val="002D2EE5"/>
    <w:rsid w:val="002E3571"/>
    <w:rsid w:val="002E765F"/>
    <w:rsid w:val="002F108B"/>
    <w:rsid w:val="002F24DF"/>
    <w:rsid w:val="002F5818"/>
    <w:rsid w:val="0030316D"/>
    <w:rsid w:val="003070E3"/>
    <w:rsid w:val="003213A1"/>
    <w:rsid w:val="0032712F"/>
    <w:rsid w:val="0032774C"/>
    <w:rsid w:val="00340753"/>
    <w:rsid w:val="0034191A"/>
    <w:rsid w:val="00343CC7"/>
    <w:rsid w:val="00344770"/>
    <w:rsid w:val="003740B5"/>
    <w:rsid w:val="00384A08"/>
    <w:rsid w:val="003902D1"/>
    <w:rsid w:val="003A6541"/>
    <w:rsid w:val="003A753A"/>
    <w:rsid w:val="003D048D"/>
    <w:rsid w:val="003E1CB6"/>
    <w:rsid w:val="003E3CF6"/>
    <w:rsid w:val="003E759F"/>
    <w:rsid w:val="003E7853"/>
    <w:rsid w:val="003F72CC"/>
    <w:rsid w:val="00403373"/>
    <w:rsid w:val="00406C81"/>
    <w:rsid w:val="00412545"/>
    <w:rsid w:val="00430BB0"/>
    <w:rsid w:val="0043144C"/>
    <w:rsid w:val="004324F9"/>
    <w:rsid w:val="004455F1"/>
    <w:rsid w:val="00460C40"/>
    <w:rsid w:val="004907EB"/>
    <w:rsid w:val="004A20A1"/>
    <w:rsid w:val="004A242D"/>
    <w:rsid w:val="004A2ABE"/>
    <w:rsid w:val="004A2C0E"/>
    <w:rsid w:val="004A589F"/>
    <w:rsid w:val="004B489F"/>
    <w:rsid w:val="004C3B31"/>
    <w:rsid w:val="004D23D0"/>
    <w:rsid w:val="004D2BE0"/>
    <w:rsid w:val="004E6EF5"/>
    <w:rsid w:val="004F321A"/>
    <w:rsid w:val="00506409"/>
    <w:rsid w:val="00530E32"/>
    <w:rsid w:val="00533132"/>
    <w:rsid w:val="00534F30"/>
    <w:rsid w:val="005649F4"/>
    <w:rsid w:val="005710C8"/>
    <w:rsid w:val="005711A3"/>
    <w:rsid w:val="00571A5C"/>
    <w:rsid w:val="00573B2B"/>
    <w:rsid w:val="005776E9"/>
    <w:rsid w:val="00595E09"/>
    <w:rsid w:val="00596CF5"/>
    <w:rsid w:val="005970CB"/>
    <w:rsid w:val="005A4F04"/>
    <w:rsid w:val="005B5793"/>
    <w:rsid w:val="005C0D34"/>
    <w:rsid w:val="005D6B6F"/>
    <w:rsid w:val="005F0C2E"/>
    <w:rsid w:val="005F62C8"/>
    <w:rsid w:val="006063D4"/>
    <w:rsid w:val="006330A2"/>
    <w:rsid w:val="00642EB6"/>
    <w:rsid w:val="006477BE"/>
    <w:rsid w:val="0065002E"/>
    <w:rsid w:val="00651E5D"/>
    <w:rsid w:val="006556B2"/>
    <w:rsid w:val="0066539D"/>
    <w:rsid w:val="00670020"/>
    <w:rsid w:val="00670B25"/>
    <w:rsid w:val="00682D41"/>
    <w:rsid w:val="0069367E"/>
    <w:rsid w:val="0069451A"/>
    <w:rsid w:val="00696AB7"/>
    <w:rsid w:val="006A5EE7"/>
    <w:rsid w:val="006C065A"/>
    <w:rsid w:val="006F7602"/>
    <w:rsid w:val="00722A17"/>
    <w:rsid w:val="00723F4F"/>
    <w:rsid w:val="00747EE1"/>
    <w:rsid w:val="0075761B"/>
    <w:rsid w:val="00757B83"/>
    <w:rsid w:val="00770F2A"/>
    <w:rsid w:val="0078188A"/>
    <w:rsid w:val="00791A69"/>
    <w:rsid w:val="00794830"/>
    <w:rsid w:val="00796A6B"/>
    <w:rsid w:val="00797CAA"/>
    <w:rsid w:val="007A0F74"/>
    <w:rsid w:val="007C2658"/>
    <w:rsid w:val="007C4F69"/>
    <w:rsid w:val="007D5F4A"/>
    <w:rsid w:val="007E20D0"/>
    <w:rsid w:val="007E3DAB"/>
    <w:rsid w:val="007E4937"/>
    <w:rsid w:val="007E6250"/>
    <w:rsid w:val="007F1CB5"/>
    <w:rsid w:val="00813C78"/>
    <w:rsid w:val="00820315"/>
    <w:rsid w:val="00824EFD"/>
    <w:rsid w:val="0083397E"/>
    <w:rsid w:val="008427F2"/>
    <w:rsid w:val="0084388B"/>
    <w:rsid w:val="00843B45"/>
    <w:rsid w:val="00843FD8"/>
    <w:rsid w:val="00850C7E"/>
    <w:rsid w:val="008536F9"/>
    <w:rsid w:val="008601CC"/>
    <w:rsid w:val="00861AF1"/>
    <w:rsid w:val="00863129"/>
    <w:rsid w:val="008755E5"/>
    <w:rsid w:val="00890EAA"/>
    <w:rsid w:val="00895697"/>
    <w:rsid w:val="008A287D"/>
    <w:rsid w:val="008C2DB2"/>
    <w:rsid w:val="008D770E"/>
    <w:rsid w:val="008E46E0"/>
    <w:rsid w:val="008F6D63"/>
    <w:rsid w:val="0090337E"/>
    <w:rsid w:val="009263B7"/>
    <w:rsid w:val="009328FA"/>
    <w:rsid w:val="00936A78"/>
    <w:rsid w:val="00952853"/>
    <w:rsid w:val="00952F1F"/>
    <w:rsid w:val="009531EB"/>
    <w:rsid w:val="009646E4"/>
    <w:rsid w:val="00986DCF"/>
    <w:rsid w:val="009877BB"/>
    <w:rsid w:val="00993ED0"/>
    <w:rsid w:val="009A3340"/>
    <w:rsid w:val="009B2BA5"/>
    <w:rsid w:val="009B33F8"/>
    <w:rsid w:val="009B3D51"/>
    <w:rsid w:val="009B7C05"/>
    <w:rsid w:val="009C2378"/>
    <w:rsid w:val="009D016F"/>
    <w:rsid w:val="009E0361"/>
    <w:rsid w:val="009E0A29"/>
    <w:rsid w:val="009E251D"/>
    <w:rsid w:val="009E6193"/>
    <w:rsid w:val="009F27C4"/>
    <w:rsid w:val="009F4517"/>
    <w:rsid w:val="00A00755"/>
    <w:rsid w:val="00A11EB6"/>
    <w:rsid w:val="00A171F4"/>
    <w:rsid w:val="00A24EFC"/>
    <w:rsid w:val="00A34FD3"/>
    <w:rsid w:val="00A55453"/>
    <w:rsid w:val="00A60941"/>
    <w:rsid w:val="00A7131D"/>
    <w:rsid w:val="00A72108"/>
    <w:rsid w:val="00A8454D"/>
    <w:rsid w:val="00A85E15"/>
    <w:rsid w:val="00A977CE"/>
    <w:rsid w:val="00AA0FF5"/>
    <w:rsid w:val="00AA4D92"/>
    <w:rsid w:val="00AA5590"/>
    <w:rsid w:val="00AB110B"/>
    <w:rsid w:val="00AC0C54"/>
    <w:rsid w:val="00AD131F"/>
    <w:rsid w:val="00AE0A6C"/>
    <w:rsid w:val="00AF3B3A"/>
    <w:rsid w:val="00AF4E8E"/>
    <w:rsid w:val="00AF5763"/>
    <w:rsid w:val="00AF5DF0"/>
    <w:rsid w:val="00AF6569"/>
    <w:rsid w:val="00AF77FA"/>
    <w:rsid w:val="00B025D9"/>
    <w:rsid w:val="00B026AA"/>
    <w:rsid w:val="00B06265"/>
    <w:rsid w:val="00B228DC"/>
    <w:rsid w:val="00B2339E"/>
    <w:rsid w:val="00B24249"/>
    <w:rsid w:val="00B47C7D"/>
    <w:rsid w:val="00B5232A"/>
    <w:rsid w:val="00B715A4"/>
    <w:rsid w:val="00B76B06"/>
    <w:rsid w:val="00B8083D"/>
    <w:rsid w:val="00B87FB4"/>
    <w:rsid w:val="00B90F78"/>
    <w:rsid w:val="00BA02B6"/>
    <w:rsid w:val="00BA7EE9"/>
    <w:rsid w:val="00BC715E"/>
    <w:rsid w:val="00BD1058"/>
    <w:rsid w:val="00BD2EC0"/>
    <w:rsid w:val="00BD5391"/>
    <w:rsid w:val="00BE5437"/>
    <w:rsid w:val="00BE6155"/>
    <w:rsid w:val="00BE7A5F"/>
    <w:rsid w:val="00BF56B2"/>
    <w:rsid w:val="00C06A05"/>
    <w:rsid w:val="00C07942"/>
    <w:rsid w:val="00C136DF"/>
    <w:rsid w:val="00C22A97"/>
    <w:rsid w:val="00C26518"/>
    <w:rsid w:val="00C457C3"/>
    <w:rsid w:val="00C644CA"/>
    <w:rsid w:val="00C65ADD"/>
    <w:rsid w:val="00C710F8"/>
    <w:rsid w:val="00C73005"/>
    <w:rsid w:val="00C85065"/>
    <w:rsid w:val="00C85E18"/>
    <w:rsid w:val="00CA4A09"/>
    <w:rsid w:val="00CC3992"/>
    <w:rsid w:val="00CC3B24"/>
    <w:rsid w:val="00CC4900"/>
    <w:rsid w:val="00CC4FD7"/>
    <w:rsid w:val="00CD0980"/>
    <w:rsid w:val="00CD75D4"/>
    <w:rsid w:val="00CF0CB8"/>
    <w:rsid w:val="00CF32AD"/>
    <w:rsid w:val="00CF36C9"/>
    <w:rsid w:val="00D166AC"/>
    <w:rsid w:val="00D36BA2"/>
    <w:rsid w:val="00D37CF4"/>
    <w:rsid w:val="00D509E9"/>
    <w:rsid w:val="00D617CD"/>
    <w:rsid w:val="00D854E4"/>
    <w:rsid w:val="00D97E5D"/>
    <w:rsid w:val="00DA4B03"/>
    <w:rsid w:val="00DA7903"/>
    <w:rsid w:val="00DB4BB0"/>
    <w:rsid w:val="00DC5EA7"/>
    <w:rsid w:val="00E04039"/>
    <w:rsid w:val="00E050C2"/>
    <w:rsid w:val="00E13795"/>
    <w:rsid w:val="00E14608"/>
    <w:rsid w:val="00E154A3"/>
    <w:rsid w:val="00E21E67"/>
    <w:rsid w:val="00E22034"/>
    <w:rsid w:val="00E30EBF"/>
    <w:rsid w:val="00E316C0"/>
    <w:rsid w:val="00E4529B"/>
    <w:rsid w:val="00E47055"/>
    <w:rsid w:val="00E52D70"/>
    <w:rsid w:val="00E55534"/>
    <w:rsid w:val="00E646D4"/>
    <w:rsid w:val="00E71E8C"/>
    <w:rsid w:val="00E7367C"/>
    <w:rsid w:val="00E83BD3"/>
    <w:rsid w:val="00E86A52"/>
    <w:rsid w:val="00E86C00"/>
    <w:rsid w:val="00E914D1"/>
    <w:rsid w:val="00E96CD1"/>
    <w:rsid w:val="00EB16D0"/>
    <w:rsid w:val="00EB1D87"/>
    <w:rsid w:val="00ED41BE"/>
    <w:rsid w:val="00ED4F9A"/>
    <w:rsid w:val="00EE7FCA"/>
    <w:rsid w:val="00EF1D82"/>
    <w:rsid w:val="00F123C2"/>
    <w:rsid w:val="00F205A7"/>
    <w:rsid w:val="00F20920"/>
    <w:rsid w:val="00F353EA"/>
    <w:rsid w:val="00F56318"/>
    <w:rsid w:val="00F64D64"/>
    <w:rsid w:val="00F67A1F"/>
    <w:rsid w:val="00F74CEA"/>
    <w:rsid w:val="00F75B79"/>
    <w:rsid w:val="00F7601A"/>
    <w:rsid w:val="00F82525"/>
    <w:rsid w:val="00F97FEA"/>
    <w:rsid w:val="00FA45A3"/>
    <w:rsid w:val="00FA68C2"/>
    <w:rsid w:val="00FB60E1"/>
    <w:rsid w:val="00FC0014"/>
    <w:rsid w:val="00FC178B"/>
    <w:rsid w:val="00FD2286"/>
    <w:rsid w:val="00FE28AC"/>
    <w:rsid w:val="00FE48B4"/>
    <w:rsid w:val="00FF3299"/>
    <w:rsid w:val="00FF52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61"/>
    <o:shapelayout v:ext="edit">
      <o:idmap v:ext="edit" data="1"/>
    </o:shapelayout>
  </w:shapeDefaults>
  <w:decimalSymbol w:val=","/>
  <w:listSeparator w:val=";"/>
  <w14:docId w14:val="7D865585"/>
  <w15:docId w15:val="{4DFF972C-F6AB-4619-B08D-20362015F2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5D6B6F"/>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
      </w:numPr>
      <w:spacing w:after="60" w:line="360" w:lineRule="exact"/>
    </w:pPr>
    <w:rPr>
      <w:b/>
      <w:sz w:val="24"/>
    </w:rPr>
  </w:style>
  <w:style w:type="numbering" w:customStyle="1" w:styleId="zzzThemen">
    <w:name w:val="zzz_Themen"/>
    <w:basedOn w:val="KeineListe"/>
    <w:uiPriority w:val="99"/>
    <w:rsid w:val="00403373"/>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style>
  <w:style w:type="paragraph" w:customStyle="1" w:styleId="Bulletpoint1">
    <w:name w:val="Bulletpoint 1"/>
    <w:basedOn w:val="Standard"/>
    <w:uiPriority w:val="5"/>
    <w:qFormat/>
    <w:rsid w:val="003E7853"/>
    <w:pPr>
      <w:tabs>
        <w:tab w:val="num" w:pos="720"/>
      </w:tabs>
      <w:spacing w:after="120" w:line="280" w:lineRule="atLeast"/>
      <w:ind w:left="720" w:hanging="720"/>
      <w:contextualSpacing/>
    </w:pPr>
    <w:rPr>
      <w:sz w:val="22"/>
    </w:rPr>
  </w:style>
  <w:style w:type="paragraph" w:customStyle="1" w:styleId="Bulletpoint2">
    <w:name w:val="Bulletpoint 2"/>
    <w:basedOn w:val="Standard"/>
    <w:uiPriority w:val="5"/>
    <w:qFormat/>
    <w:rsid w:val="003E7853"/>
    <w:pPr>
      <w:numPr>
        <w:ilvl w:val="1"/>
        <w:numId w:val="3"/>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3"/>
      </w:numPr>
      <w:spacing w:after="120" w:line="280" w:lineRule="atLeast"/>
      <w:contextualSpacing/>
    </w:pPr>
    <w:rPr>
      <w:sz w:val="22"/>
    </w:rPr>
  </w:style>
  <w:style w:type="numbering" w:customStyle="1" w:styleId="zzzBulletpoints">
    <w:name w:val="zzz_Bulletpoints"/>
    <w:basedOn w:val="KeineListe"/>
    <w:uiPriority w:val="99"/>
    <w:rsid w:val="005A4F04"/>
  </w:style>
  <w:style w:type="paragraph" w:customStyle="1" w:styleId="Nummerrierung">
    <w:name w:val="Nummerrierung"/>
    <w:basedOn w:val="Standard"/>
    <w:uiPriority w:val="5"/>
    <w:qFormat/>
    <w:rsid w:val="008D770E"/>
    <w:pPr>
      <w:tabs>
        <w:tab w:val="num" w:pos="720"/>
      </w:tabs>
      <w:spacing w:after="120"/>
      <w:ind w:left="720" w:hanging="720"/>
    </w:pPr>
    <w:rPr>
      <w:sz w:val="18"/>
    </w:rPr>
  </w:style>
  <w:style w:type="numbering" w:customStyle="1" w:styleId="zzzNummerierung">
    <w:name w:val="zzz_Nummerierung"/>
    <w:basedOn w:val="KeineListe"/>
    <w:uiPriority w:val="99"/>
    <w:rsid w:val="00506409"/>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uiPriority w:val="99"/>
    <w:semiHidden/>
    <w:unhideWhenUsed/>
    <w:rsid w:val="002D2EE5"/>
    <w:rPr>
      <w:color w:val="605E5C"/>
      <w:shd w:val="clear" w:color="auto" w:fill="E1DFDD"/>
    </w:rPr>
  </w:style>
  <w:style w:type="character" w:styleId="Kommentarzeichen">
    <w:name w:val="annotation reference"/>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link w:val="Kommentarthema"/>
    <w:uiPriority w:val="99"/>
    <w:semiHidden/>
    <w:rsid w:val="00D37CF4"/>
    <w:rPr>
      <w:b/>
      <w:bCs/>
      <w:lang w:eastAsia="en-US"/>
    </w:rPr>
  </w:style>
  <w:style w:type="paragraph" w:customStyle="1" w:styleId="1RoadNews">
    <w:name w:val="_1RoadNews"/>
    <w:basedOn w:val="Standard"/>
    <w:qFormat/>
    <w:rsid w:val="002F5818"/>
    <w:pPr>
      <w:widowControl w:val="0"/>
      <w:suppressAutoHyphens/>
      <w:autoSpaceDE w:val="0"/>
      <w:autoSpaceDN w:val="0"/>
      <w:adjustRightInd w:val="0"/>
      <w:spacing w:line="290" w:lineRule="atLeast"/>
      <w:textAlignment w:val="center"/>
    </w:pPr>
    <w:rPr>
      <w:rFonts w:ascii="Arial" w:eastAsia="Times New Roman" w:hAnsi="Arial" w:cs="HelveticaNeue-LightItalic"/>
      <w:iCs/>
      <w:color w:val="000000"/>
      <w:spacing w:val="3"/>
      <w:sz w:val="22"/>
      <w:szCs w:val="18"/>
      <w:lang w:eastAsia="de-DE" w:bidi="de-DE"/>
    </w:rPr>
  </w:style>
  <w:style w:type="paragraph" w:customStyle="1" w:styleId="berschrift31">
    <w:name w:val="Überschrift 31"/>
    <w:basedOn w:val="Standard"/>
    <w:next w:val="Text"/>
    <w:uiPriority w:val="9"/>
    <w:qFormat/>
    <w:rsid w:val="00895697"/>
    <w:pPr>
      <w:keepNext/>
      <w:keepLines/>
      <w:suppressAutoHyphens/>
      <w:spacing w:before="120" w:after="120" w:line="240" w:lineRule="exact"/>
      <w:jc w:val="both"/>
      <w:outlineLvl w:val="2"/>
    </w:pPr>
    <w:rPr>
      <w:rFonts w:eastAsia="Times New Roman"/>
      <w:b/>
      <w:sz w:val="20"/>
      <w:szCs w:val="24"/>
    </w:rPr>
  </w:style>
  <w:style w:type="character" w:customStyle="1" w:styleId="TextkrperZchn">
    <w:name w:val="Textkörper Zchn"/>
    <w:link w:val="Textkrper"/>
    <w:qFormat/>
    <w:rsid w:val="009B2BA5"/>
    <w:rPr>
      <w:rFonts w:ascii="Arial" w:eastAsia="Arial Unicode MS" w:hAnsi="Arial" w:cs="Lucida Sans"/>
      <w:kern w:val="2"/>
      <w:sz w:val="22"/>
      <w:szCs w:val="24"/>
      <w:lang w:eastAsia="zh-CN" w:bidi="hi-IN"/>
    </w:rPr>
  </w:style>
  <w:style w:type="paragraph" w:styleId="Textkrper">
    <w:name w:val="Body Text"/>
    <w:basedOn w:val="Standard"/>
    <w:link w:val="TextkrperZchn"/>
    <w:rsid w:val="009B2BA5"/>
    <w:pPr>
      <w:suppressAutoHyphens/>
      <w:spacing w:after="140" w:line="276" w:lineRule="auto"/>
    </w:pPr>
    <w:rPr>
      <w:rFonts w:ascii="Arial" w:eastAsia="Arial Unicode MS" w:hAnsi="Arial" w:cs="Lucida Sans"/>
      <w:kern w:val="2"/>
      <w:sz w:val="22"/>
      <w:szCs w:val="24"/>
      <w:lang w:eastAsia="zh-CN" w:bidi="hi-IN"/>
    </w:rPr>
  </w:style>
  <w:style w:type="character" w:customStyle="1" w:styleId="TextkrperZchn1">
    <w:name w:val="Textkörper Zchn1"/>
    <w:uiPriority w:val="99"/>
    <w:semiHidden/>
    <w:rsid w:val="009B2BA5"/>
    <w:rPr>
      <w:sz w:val="16"/>
      <w:szCs w:val="16"/>
      <w:lang w:eastAsia="en-US"/>
    </w:rPr>
  </w:style>
  <w:style w:type="paragraph" w:styleId="berarbeitung">
    <w:name w:val="Revision"/>
    <w:hidden/>
    <w:uiPriority w:val="71"/>
    <w:semiHidden/>
    <w:rsid w:val="009E0361"/>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393810">
      <w:bodyDiv w:val="1"/>
      <w:marLeft w:val="0"/>
      <w:marRight w:val="0"/>
      <w:marTop w:val="0"/>
      <w:marBottom w:val="0"/>
      <w:divBdr>
        <w:top w:val="none" w:sz="0" w:space="0" w:color="auto"/>
        <w:left w:val="none" w:sz="0" w:space="0" w:color="auto"/>
        <w:bottom w:val="none" w:sz="0" w:space="0" w:color="auto"/>
        <w:right w:val="none" w:sz="0" w:space="0" w:color="auto"/>
      </w:divBdr>
    </w:div>
    <w:div w:id="830289638">
      <w:bodyDiv w:val="1"/>
      <w:marLeft w:val="0"/>
      <w:marRight w:val="0"/>
      <w:marTop w:val="0"/>
      <w:marBottom w:val="0"/>
      <w:divBdr>
        <w:top w:val="none" w:sz="0" w:space="0" w:color="auto"/>
        <w:left w:val="none" w:sz="0" w:space="0" w:color="auto"/>
        <w:bottom w:val="none" w:sz="0" w:space="0" w:color="auto"/>
        <w:right w:val="none" w:sz="0" w:space="0" w:color="auto"/>
      </w:divBdr>
    </w:div>
    <w:div w:id="1128820421">
      <w:bodyDiv w:val="1"/>
      <w:marLeft w:val="0"/>
      <w:marRight w:val="0"/>
      <w:marTop w:val="0"/>
      <w:marBottom w:val="0"/>
      <w:divBdr>
        <w:top w:val="none" w:sz="0" w:space="0" w:color="auto"/>
        <w:left w:val="none" w:sz="0" w:space="0" w:color="auto"/>
        <w:bottom w:val="none" w:sz="0" w:space="0" w:color="auto"/>
        <w:right w:val="none" w:sz="0" w:space="0" w:color="auto"/>
      </w:divBdr>
    </w:div>
    <w:div w:id="1932004068">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26384C-076B-481A-B4E9-8A54EEA036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Template>
  <TotalTime>0</TotalTime>
  <Pages>4</Pages>
  <Words>982</Words>
  <Characters>6187</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7155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cp:lastModifiedBy>Lang,Christian</cp:lastModifiedBy>
  <cp:revision>5</cp:revision>
  <cp:lastPrinted>2021-07-06T07:26:00Z</cp:lastPrinted>
  <dcterms:created xsi:type="dcterms:W3CDTF">2021-07-26T13:55:00Z</dcterms:created>
  <dcterms:modified xsi:type="dcterms:W3CDTF">2021-07-27T06:39:00Z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